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211EA" w14:textId="77777777" w:rsidR="00C637FF" w:rsidRDefault="00C637FF" w:rsidP="00C637FF">
      <w:pPr>
        <w:pStyle w:val="Heading1"/>
      </w:pPr>
      <w:bookmarkStart w:id="0" w:name="_GoBack"/>
      <w:bookmarkEnd w:id="0"/>
      <w:r>
        <w:t>Introduction</w:t>
      </w:r>
    </w:p>
    <w:p w14:paraId="7D85E557" w14:textId="77777777" w:rsidR="00C637FF" w:rsidRDefault="00C637FF" w:rsidP="00C637FF">
      <w:r>
        <w:t>The CJA eVoucher System is a web-based solution for submission, monitoring, and management of Criminal Justice Act (CJA) functions. The eVoucher program provides:</w:t>
      </w:r>
    </w:p>
    <w:p w14:paraId="14BC48AC" w14:textId="77777777" w:rsidR="00C637FF" w:rsidRDefault="00C637FF" w:rsidP="00C637FF">
      <w:pPr>
        <w:pStyle w:val="ListParagraph"/>
        <w:numPr>
          <w:ilvl w:val="0"/>
          <w:numId w:val="16"/>
        </w:numPr>
      </w:pPr>
      <w:r>
        <w:t>Online submission of vouchers and authorizations by attorneys and experts.</w:t>
      </w:r>
    </w:p>
    <w:p w14:paraId="163CB0F3" w14:textId="77777777" w:rsidR="00C637FF" w:rsidRDefault="00C637FF" w:rsidP="00C637FF">
      <w:pPr>
        <w:pStyle w:val="ListParagraph"/>
        <w:numPr>
          <w:ilvl w:val="0"/>
          <w:numId w:val="16"/>
        </w:numPr>
      </w:pPr>
      <w:r>
        <w:t>Line-item auditing of vouchers by judges and court staff.</w:t>
      </w:r>
    </w:p>
    <w:p w14:paraId="315D122D" w14:textId="77777777" w:rsidR="00C637FF" w:rsidRDefault="00C637FF" w:rsidP="00C637FF">
      <w:pPr>
        <w:pStyle w:val="ListParagraph"/>
        <w:numPr>
          <w:ilvl w:val="0"/>
          <w:numId w:val="16"/>
        </w:numPr>
      </w:pPr>
      <w:r>
        <w:t>The ability to attach PDF documentation to vouchers and authorizations.</w:t>
      </w:r>
    </w:p>
    <w:p w14:paraId="5A8F0F27" w14:textId="77777777" w:rsidR="00C637FF" w:rsidRDefault="00C637FF" w:rsidP="00C637FF">
      <w:pPr>
        <w:pStyle w:val="ListParagraph"/>
        <w:numPr>
          <w:ilvl w:val="0"/>
          <w:numId w:val="16"/>
        </w:numPr>
      </w:pPr>
      <w:r>
        <w:t>Automatic email notification to attorney on approval or rejection of vouchers.</w:t>
      </w:r>
    </w:p>
    <w:p w14:paraId="3D453DF5" w14:textId="77777777" w:rsidR="00C637FF" w:rsidRDefault="00C637FF" w:rsidP="00C637FF">
      <w:pPr>
        <w:pStyle w:val="ListParagraph"/>
        <w:numPr>
          <w:ilvl w:val="0"/>
          <w:numId w:val="16"/>
        </w:numPr>
      </w:pPr>
      <w:r>
        <w:t>Electronic transfer to the Circuit for excess approval.</w:t>
      </w:r>
    </w:p>
    <w:p w14:paraId="2466C456" w14:textId="77777777" w:rsidR="00C637FF" w:rsidRDefault="00D405B2" w:rsidP="00C637FF">
      <w:pPr>
        <w:pStyle w:val="ListParagraph"/>
        <w:numPr>
          <w:ilvl w:val="0"/>
          <w:numId w:val="16"/>
        </w:numPr>
      </w:pPr>
      <w:r>
        <w:t>Panel m</w:t>
      </w:r>
      <w:r w:rsidR="00C637FF">
        <w:t>anagement tools and reports for attorney appointments.</w:t>
      </w:r>
    </w:p>
    <w:p w14:paraId="1586D30A" w14:textId="77777777" w:rsidR="00C637FF" w:rsidRDefault="00C637FF" w:rsidP="00C637FF">
      <w:pPr>
        <w:pStyle w:val="ListParagraph"/>
        <w:numPr>
          <w:ilvl w:val="0"/>
          <w:numId w:val="16"/>
        </w:numPr>
      </w:pPr>
      <w:r>
        <w:t>Built-in reporting for budgeting and analysis.</w:t>
      </w:r>
    </w:p>
    <w:p w14:paraId="705AD828" w14:textId="77777777" w:rsidR="00C637FF" w:rsidRDefault="00C637FF" w:rsidP="00C637FF">
      <w:pPr>
        <w:pStyle w:val="Heading1"/>
      </w:pPr>
      <w:r>
        <w:t xml:space="preserve">Browser Compatibility </w:t>
      </w:r>
    </w:p>
    <w:p w14:paraId="68237934" w14:textId="77777777" w:rsidR="00C637FF" w:rsidRDefault="00C637FF" w:rsidP="00C637FF">
      <w:pPr>
        <w:pStyle w:val="ListParagraph"/>
        <w:numPr>
          <w:ilvl w:val="0"/>
          <w:numId w:val="17"/>
        </w:numPr>
      </w:pPr>
      <w:r>
        <w:t>Windows: Internet Explorer (IE) 8 or newer</w:t>
      </w:r>
    </w:p>
    <w:p w14:paraId="33EDB7B4" w14:textId="77777777" w:rsidR="00C637FF" w:rsidRDefault="00C637FF" w:rsidP="00C637FF">
      <w:pPr>
        <w:pStyle w:val="ListParagraph"/>
        <w:numPr>
          <w:ilvl w:val="0"/>
          <w:numId w:val="17"/>
        </w:numPr>
      </w:pPr>
      <w:r>
        <w:t>Apple Macintosh: Safari 5.1 or newer</w:t>
      </w:r>
    </w:p>
    <w:p w14:paraId="41AD38E0" w14:textId="77777777" w:rsidR="00C637FF" w:rsidRDefault="00C637FF" w:rsidP="00C637FF">
      <w:pPr>
        <w:pStyle w:val="ListParagraph"/>
        <w:numPr>
          <w:ilvl w:val="1"/>
          <w:numId w:val="17"/>
        </w:numPr>
      </w:pPr>
      <w:r>
        <w:t>Chrome, Mozilla Firefox, and other browsers may not be used with CJA eVoucher</w:t>
      </w:r>
    </w:p>
    <w:p w14:paraId="2D6BC3F7" w14:textId="77777777" w:rsidR="00C637FF" w:rsidRDefault="00C637FF" w:rsidP="00C637FF">
      <w:pPr>
        <w:pStyle w:val="Heading1"/>
      </w:pPr>
      <w:r>
        <w:t>Accessing the CJA eVoucher Program</w:t>
      </w:r>
    </w:p>
    <w:p w14:paraId="1A49A55D" w14:textId="77777777" w:rsidR="00C637FF" w:rsidRDefault="00C637FF" w:rsidP="00853D2D">
      <w:r>
        <w:t xml:space="preserve">Your court staff will provide you with information on how to access eVoucher. It is suggested that you bookmark it for easier access. Enter your </w:t>
      </w:r>
      <w:r w:rsidR="00500C54">
        <w:t>u</w:t>
      </w:r>
      <w:r w:rsidRPr="00500C54">
        <w:t>sername</w:t>
      </w:r>
      <w:r>
        <w:t xml:space="preserve"> and </w:t>
      </w:r>
      <w:r w:rsidR="00500C54">
        <w:t>p</w:t>
      </w:r>
      <w:r w:rsidRPr="00500C54">
        <w:t>assword</w:t>
      </w:r>
      <w:r>
        <w:t xml:space="preserve"> and click </w:t>
      </w:r>
      <w:r w:rsidRPr="00D10A63">
        <w:rPr>
          <w:b/>
        </w:rPr>
        <w:t>Log In</w:t>
      </w:r>
      <w:r>
        <w:t>.</w:t>
      </w:r>
    </w:p>
    <w:p w14:paraId="165990F8" w14:textId="77777777" w:rsidR="004D6368" w:rsidRDefault="002E21F6" w:rsidP="00853D2D">
      <w:r>
        <w:rPr>
          <w:noProof/>
        </w:rPr>
        <w:drawing>
          <wp:inline distT="0" distB="0" distL="0" distR="0" wp14:anchorId="01839A22" wp14:editId="30BCBEF4">
            <wp:extent cx="3533775" cy="3378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2923" cy="3387655"/>
                    </a:xfrm>
                    <a:prstGeom prst="rect">
                      <a:avLst/>
                    </a:prstGeom>
                  </pic:spPr>
                </pic:pic>
              </a:graphicData>
            </a:graphic>
          </wp:inline>
        </w:drawing>
      </w:r>
    </w:p>
    <w:p w14:paraId="051B25B5" w14:textId="77777777" w:rsidR="00F027E6" w:rsidRDefault="00F027E6" w:rsidP="00C637FF"/>
    <w:p w14:paraId="7D823949" w14:textId="77777777" w:rsidR="007E7CC1" w:rsidRPr="00CB20D8" w:rsidRDefault="007E7CC1" w:rsidP="007E7CC1">
      <w:r w:rsidRPr="007E7CC1">
        <w:lastRenderedPageBreak/>
        <w:t xml:space="preserve">Users will be required to change their passwords within </w:t>
      </w:r>
      <w:r w:rsidRPr="007E7CC1">
        <w:rPr>
          <w:b/>
        </w:rPr>
        <w:t>30 days</w:t>
      </w:r>
      <w:r w:rsidRPr="007E7CC1">
        <w:t xml:space="preserve"> of the first time they log </w:t>
      </w:r>
      <w:r>
        <w:t>in to eVoucher</w:t>
      </w:r>
      <w:r w:rsidRPr="007E7CC1">
        <w:t xml:space="preserve">.  </w:t>
      </w:r>
      <w:r>
        <w:t xml:space="preserve">Passwords must be at least eight characters in length and </w:t>
      </w:r>
      <w:r w:rsidRPr="00CB20D8">
        <w:t xml:space="preserve">contain: </w:t>
      </w:r>
    </w:p>
    <w:p w14:paraId="07DCAFFE" w14:textId="4A87DA91" w:rsidR="007E7CC1" w:rsidRPr="00CB20D8" w:rsidRDefault="007E7CC1" w:rsidP="007E7CC1">
      <w:pPr>
        <w:pStyle w:val="ListParagraph"/>
        <w:numPr>
          <w:ilvl w:val="0"/>
          <w:numId w:val="20"/>
        </w:numPr>
        <w:jc w:val="left"/>
      </w:pPr>
      <w:r w:rsidRPr="00CB20D8">
        <w:t>One lower-case character</w:t>
      </w:r>
    </w:p>
    <w:p w14:paraId="38584A29" w14:textId="322EDAAD" w:rsidR="007E7CC1" w:rsidRPr="00CB20D8" w:rsidRDefault="007E7CC1" w:rsidP="007E7CC1">
      <w:pPr>
        <w:pStyle w:val="ListParagraph"/>
        <w:numPr>
          <w:ilvl w:val="0"/>
          <w:numId w:val="20"/>
        </w:numPr>
        <w:jc w:val="left"/>
      </w:pPr>
      <w:r w:rsidRPr="00CB20D8">
        <w:t>One upper-case character</w:t>
      </w:r>
    </w:p>
    <w:p w14:paraId="2E21EB26" w14:textId="5D58C949" w:rsidR="007E7CC1" w:rsidRPr="00CB20D8" w:rsidRDefault="007E7CC1" w:rsidP="007E7CC1">
      <w:pPr>
        <w:pStyle w:val="ListParagraph"/>
        <w:numPr>
          <w:ilvl w:val="0"/>
          <w:numId w:val="20"/>
        </w:numPr>
        <w:jc w:val="left"/>
      </w:pPr>
      <w:r w:rsidRPr="00CB20D8">
        <w:t>One number</w:t>
      </w:r>
    </w:p>
    <w:p w14:paraId="6646EBFE" w14:textId="77777777" w:rsidR="007E7CC1" w:rsidRPr="00CB20D8" w:rsidRDefault="007E7CC1" w:rsidP="007E7CC1">
      <w:pPr>
        <w:pStyle w:val="ListParagraph"/>
        <w:numPr>
          <w:ilvl w:val="0"/>
          <w:numId w:val="20"/>
        </w:numPr>
        <w:jc w:val="left"/>
      </w:pPr>
      <w:r w:rsidRPr="00CB20D8">
        <w:t>One special character</w:t>
      </w:r>
    </w:p>
    <w:p w14:paraId="09CD0B76" w14:textId="77777777" w:rsidR="00C637FF" w:rsidRDefault="00FD140B" w:rsidP="00C637FF">
      <w:r>
        <w:t xml:space="preserve">If you forget your </w:t>
      </w:r>
      <w:r w:rsidR="001D2648">
        <w:t>u</w:t>
      </w:r>
      <w:r w:rsidRPr="001D2648">
        <w:t>sername</w:t>
      </w:r>
      <w:r>
        <w:t xml:space="preserve"> or </w:t>
      </w:r>
      <w:r w:rsidR="001D2648">
        <w:t>p</w:t>
      </w:r>
      <w:r w:rsidR="00C637FF" w:rsidRPr="001D2648">
        <w:t>assword</w:t>
      </w:r>
      <w:r w:rsidR="00C637FF">
        <w:t xml:space="preserve">, click the </w:t>
      </w:r>
      <w:r w:rsidR="00393EB3">
        <w:rPr>
          <w:b/>
        </w:rPr>
        <w:t>Forgot your L</w:t>
      </w:r>
      <w:r w:rsidRPr="00FD140B">
        <w:rPr>
          <w:b/>
        </w:rPr>
        <w:t>ogin</w:t>
      </w:r>
      <w:r w:rsidRPr="00FD140B">
        <w:t xml:space="preserve"> </w:t>
      </w:r>
      <w:r w:rsidR="00C637FF">
        <w:t xml:space="preserve">hyperlink. Enter your username or email address and click </w:t>
      </w:r>
      <w:r w:rsidR="00C637FF" w:rsidRPr="00FD140B">
        <w:rPr>
          <w:b/>
        </w:rPr>
        <w:t>Recover Logon</w:t>
      </w:r>
      <w:r w:rsidR="00C637FF">
        <w:t xml:space="preserve">. You will receive an email </w:t>
      </w:r>
      <w:r w:rsidR="008A424A">
        <w:t>with instructions on how to reset your password</w:t>
      </w:r>
      <w:r w:rsidR="00C637FF">
        <w:t>.</w:t>
      </w:r>
    </w:p>
    <w:p w14:paraId="1A3D5C7A" w14:textId="77777777" w:rsidR="00A87704" w:rsidRPr="00877779" w:rsidRDefault="004D6368" w:rsidP="00877779">
      <w:r>
        <w:rPr>
          <w:noProof/>
        </w:rPr>
        <w:drawing>
          <wp:inline distT="0" distB="0" distL="0" distR="0" wp14:anchorId="53F65DBF" wp14:editId="2D775C31">
            <wp:extent cx="403860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ver.jpg"/>
                    <pic:cNvPicPr/>
                  </pic:nvPicPr>
                  <pic:blipFill>
                    <a:blip r:embed="rId9">
                      <a:extLst>
                        <a:ext uri="{28A0092B-C50C-407E-A947-70E740481C1C}">
                          <a14:useLocalDpi xmlns:a14="http://schemas.microsoft.com/office/drawing/2010/main" val="0"/>
                        </a:ext>
                      </a:extLst>
                    </a:blip>
                    <a:stretch>
                      <a:fillRect/>
                    </a:stretch>
                  </pic:blipFill>
                  <pic:spPr>
                    <a:xfrm>
                      <a:off x="0" y="0"/>
                      <a:ext cx="4038600" cy="1657350"/>
                    </a:xfrm>
                    <a:prstGeom prst="rect">
                      <a:avLst/>
                    </a:prstGeom>
                  </pic:spPr>
                </pic:pic>
              </a:graphicData>
            </a:graphic>
          </wp:inline>
        </w:drawing>
      </w:r>
    </w:p>
    <w:p w14:paraId="3F11670C" w14:textId="77777777" w:rsidR="004D6368" w:rsidRDefault="004D6368" w:rsidP="00877779">
      <w:pPr>
        <w:pStyle w:val="Heading1"/>
      </w:pPr>
      <w:r>
        <w:t>Profile</w:t>
      </w:r>
    </w:p>
    <w:p w14:paraId="19AB1014" w14:textId="1058A587" w:rsidR="008C0002" w:rsidRPr="008C0002" w:rsidRDefault="008C0002" w:rsidP="008C0002">
      <w:r>
        <w:t xml:space="preserve">Your profile contains your login information, your contact information, as well as the billing information </w:t>
      </w:r>
      <w:r w:rsidR="00C64566">
        <w:t>that</w:t>
      </w:r>
      <w:r>
        <w:t xml:space="preserve"> will be used to pay for your services. Your district may allow you to manage and update this information.</w:t>
      </w:r>
    </w:p>
    <w:p w14:paraId="52948523" w14:textId="64C0552D" w:rsidR="00877779" w:rsidRDefault="003D6D64" w:rsidP="00877779">
      <w:r>
        <w:rPr>
          <w:noProof/>
        </w:rPr>
        <w:drawing>
          <wp:inline distT="0" distB="0" distL="0" distR="0" wp14:anchorId="41908B3F" wp14:editId="129496D1">
            <wp:extent cx="4154175" cy="3076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0705" cy="3088817"/>
                    </a:xfrm>
                    <a:prstGeom prst="rect">
                      <a:avLst/>
                    </a:prstGeom>
                  </pic:spPr>
                </pic:pic>
              </a:graphicData>
            </a:graphic>
          </wp:inline>
        </w:drawing>
      </w:r>
    </w:p>
    <w:p w14:paraId="26C4808F" w14:textId="77777777" w:rsidR="00C637FF" w:rsidRDefault="00C637FF" w:rsidP="00C637FF">
      <w:pPr>
        <w:pStyle w:val="Heading1"/>
      </w:pPr>
      <w:r>
        <w:lastRenderedPageBreak/>
        <w:t>Changing Your Username and Password</w:t>
      </w:r>
    </w:p>
    <w:p w14:paraId="5B84B68E" w14:textId="77777777" w:rsidR="00C637FF" w:rsidRDefault="00C637FF" w:rsidP="00C637FF">
      <w:r>
        <w:t xml:space="preserve">You may change both your username and password in your </w:t>
      </w:r>
      <w:r w:rsidR="00393EB3">
        <w:t>p</w:t>
      </w:r>
      <w:r w:rsidRPr="00393EB3">
        <w:t>rofile</w:t>
      </w:r>
      <w:r>
        <w:t xml:space="preserve">. You may access your profile from the </w:t>
      </w:r>
      <w:r w:rsidR="00B840F3">
        <w:t>h</w:t>
      </w:r>
      <w:r w:rsidRPr="00393EB3">
        <w:t>ome</w:t>
      </w:r>
      <w:r>
        <w:t xml:space="preserve"> page by clicking the </w:t>
      </w:r>
      <w:r w:rsidR="00B840F3">
        <w:rPr>
          <w:b/>
        </w:rPr>
        <w:t>My P</w:t>
      </w:r>
      <w:r w:rsidRPr="00B840F3">
        <w:rPr>
          <w:b/>
        </w:rPr>
        <w:t>rofile</w:t>
      </w:r>
      <w:r w:rsidR="00FD140B">
        <w:t xml:space="preserve"> l</w:t>
      </w:r>
      <w:r>
        <w:t xml:space="preserve">ink to the right of the </w:t>
      </w:r>
      <w:r w:rsidR="00F05EA7">
        <w:t xml:space="preserve">user </w:t>
      </w:r>
      <w:r w:rsidR="00E07E00">
        <w:t xml:space="preserve">profile </w:t>
      </w:r>
      <w:r w:rsidR="00F05EA7">
        <w:t>picture</w:t>
      </w:r>
      <w:r>
        <w:t xml:space="preserve">. Or, you may select </w:t>
      </w:r>
      <w:r w:rsidRPr="00FD140B">
        <w:rPr>
          <w:b/>
        </w:rPr>
        <w:t>My Profile</w:t>
      </w:r>
      <w:r>
        <w:t xml:space="preserve"> from the </w:t>
      </w:r>
      <w:r w:rsidRPr="00FD140B">
        <w:rPr>
          <w:b/>
        </w:rPr>
        <w:t>Help</w:t>
      </w:r>
      <w:r>
        <w:t xml:space="preserve"> menu.</w:t>
      </w:r>
    </w:p>
    <w:p w14:paraId="0D5C3FCE" w14:textId="77777777" w:rsidR="00C637FF" w:rsidRPr="00877779" w:rsidRDefault="00C637FF" w:rsidP="00877779">
      <w:r>
        <w:t xml:space="preserve">Click </w:t>
      </w:r>
      <w:r w:rsidRPr="00FD140B">
        <w:rPr>
          <w:b/>
        </w:rPr>
        <w:t>Edit</w:t>
      </w:r>
      <w:r>
        <w:t xml:space="preserve"> on the right side of the </w:t>
      </w:r>
      <w:r w:rsidRPr="00FD140B">
        <w:rPr>
          <w:b/>
        </w:rPr>
        <w:t>Login Info</w:t>
      </w:r>
      <w:r>
        <w:t xml:space="preserve"> section.</w:t>
      </w:r>
    </w:p>
    <w:p w14:paraId="270869A0" w14:textId="77777777" w:rsidR="00877779" w:rsidRDefault="00A25491" w:rsidP="00877779">
      <w:r>
        <w:rPr>
          <w:noProof/>
        </w:rPr>
        <w:drawing>
          <wp:inline distT="0" distB="0" distL="0" distR="0" wp14:anchorId="32B4300C" wp14:editId="45A40F4E">
            <wp:extent cx="5943600" cy="1009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09650"/>
                    </a:xfrm>
                    <a:prstGeom prst="rect">
                      <a:avLst/>
                    </a:prstGeom>
                  </pic:spPr>
                </pic:pic>
              </a:graphicData>
            </a:graphic>
          </wp:inline>
        </w:drawing>
      </w:r>
    </w:p>
    <w:p w14:paraId="08C8E3EA" w14:textId="686C5A0F" w:rsidR="00C637FF" w:rsidRDefault="00C637FF" w:rsidP="00877779">
      <w:r>
        <w:t xml:space="preserve">To change your username, type the new username and click </w:t>
      </w:r>
      <w:r w:rsidR="00AD3BB2">
        <w:rPr>
          <w:b/>
        </w:rPr>
        <w:t>C</w:t>
      </w:r>
      <w:r w:rsidRPr="00C637FF">
        <w:rPr>
          <w:b/>
        </w:rPr>
        <w:t>hange</w:t>
      </w:r>
      <w:r>
        <w:t>.</w:t>
      </w:r>
    </w:p>
    <w:p w14:paraId="1DDC31BF" w14:textId="77777777" w:rsidR="00376080" w:rsidRDefault="00376080" w:rsidP="00376080">
      <w:r>
        <w:t>Passwords will expire every 180 days.</w:t>
      </w:r>
    </w:p>
    <w:p w14:paraId="3F668293" w14:textId="5C611438" w:rsidR="00C637FF" w:rsidRDefault="00C637FF" w:rsidP="00877779">
      <w:r>
        <w:t xml:space="preserve">To change your password, click </w:t>
      </w:r>
      <w:r w:rsidR="00AD3BB2">
        <w:rPr>
          <w:b/>
        </w:rPr>
        <w:t>R</w:t>
      </w:r>
      <w:r w:rsidRPr="00C637FF">
        <w:rPr>
          <w:b/>
        </w:rPr>
        <w:t>eset</w:t>
      </w:r>
      <w:r w:rsidR="001A4578">
        <w:t>.</w:t>
      </w:r>
      <w:r>
        <w:t xml:space="preserve"> Type the new password and </w:t>
      </w:r>
      <w:r w:rsidR="00391502">
        <w:t>retype it in the confirm field and c</w:t>
      </w:r>
      <w:r>
        <w:t xml:space="preserve">lick </w:t>
      </w:r>
      <w:r w:rsidRPr="00F33209">
        <w:rPr>
          <w:b/>
        </w:rPr>
        <w:t>Reset</w:t>
      </w:r>
      <w:r>
        <w:t xml:space="preserve">. </w:t>
      </w:r>
      <w:r w:rsidR="004D2A7E">
        <w:t xml:space="preserve">Click </w:t>
      </w:r>
      <w:r w:rsidR="004D2A7E" w:rsidRPr="00F33209">
        <w:rPr>
          <w:b/>
        </w:rPr>
        <w:t>Close</w:t>
      </w:r>
      <w:r w:rsidR="004D2A7E">
        <w:t xml:space="preserve"> to exit the </w:t>
      </w:r>
      <w:r w:rsidR="004D2A7E" w:rsidRPr="00FD140B">
        <w:rPr>
          <w:b/>
        </w:rPr>
        <w:t>Login Info</w:t>
      </w:r>
      <w:r w:rsidR="004D2A7E">
        <w:t xml:space="preserve"> section.</w:t>
      </w:r>
    </w:p>
    <w:p w14:paraId="5AAC1BB1" w14:textId="05F36FE3" w:rsidR="00F33209" w:rsidRDefault="00F3522D" w:rsidP="00F33209">
      <w:pPr>
        <w:pStyle w:val="Heading1"/>
      </w:pPr>
      <w:r>
        <w:t>Expert</w:t>
      </w:r>
      <w:r w:rsidR="00F33209" w:rsidRPr="00F33209">
        <w:t xml:space="preserve"> Info</w:t>
      </w:r>
    </w:p>
    <w:p w14:paraId="17AF2A6C" w14:textId="335232D5" w:rsidR="00F33209" w:rsidRDefault="00F33209" w:rsidP="00F33209">
      <w:r w:rsidRPr="003414D8">
        <w:t xml:space="preserve">The </w:t>
      </w:r>
      <w:r w:rsidR="00F3522D">
        <w:rPr>
          <w:b/>
        </w:rPr>
        <w:t>Expert</w:t>
      </w:r>
      <w:r w:rsidR="00C423AF">
        <w:rPr>
          <w:b/>
        </w:rPr>
        <w:t xml:space="preserve"> Info</w:t>
      </w:r>
      <w:r w:rsidRPr="003414D8">
        <w:t xml:space="preserve"> section of the profile contains your </w:t>
      </w:r>
      <w:r w:rsidR="00C423AF">
        <w:t xml:space="preserve">designation, </w:t>
      </w:r>
      <w:r w:rsidRPr="003414D8">
        <w:t>name</w:t>
      </w:r>
      <w:r w:rsidR="00C423AF">
        <w:t>,</w:t>
      </w:r>
      <w:r w:rsidRPr="003414D8">
        <w:t xml:space="preserve"> and contact information. If any information is missing or incorrect, you can change your </w:t>
      </w:r>
      <w:r w:rsidR="00C423AF">
        <w:t>personal</w:t>
      </w:r>
      <w:r w:rsidR="00391502">
        <w:t xml:space="preserve"> i</w:t>
      </w:r>
      <w:r w:rsidRPr="003414D8">
        <w:t xml:space="preserve">nfo by clicking </w:t>
      </w:r>
      <w:r w:rsidRPr="003414D8">
        <w:rPr>
          <w:b/>
        </w:rPr>
        <w:t>Edit</w:t>
      </w:r>
      <w:r w:rsidRPr="003414D8">
        <w:t xml:space="preserve"> </w:t>
      </w:r>
      <w:r w:rsidR="00C423AF">
        <w:t xml:space="preserve">to the right of this </w:t>
      </w:r>
      <w:r w:rsidRPr="003414D8">
        <w:t>section of the profile.</w:t>
      </w:r>
    </w:p>
    <w:p w14:paraId="35FB31E6" w14:textId="572A821F" w:rsidR="00B806BD" w:rsidRDefault="002C2E4A" w:rsidP="00A25DA8">
      <w:pPr>
        <w:jc w:val="left"/>
      </w:pPr>
      <w:r>
        <w:t xml:space="preserve">Only self-employed Service Providers </w:t>
      </w:r>
      <w:r w:rsidR="00A25DA8">
        <w:t xml:space="preserve">must enter </w:t>
      </w:r>
      <w:r>
        <w:t>a</w:t>
      </w:r>
      <w:r w:rsidR="00A25DA8">
        <w:t xml:space="preserve"> </w:t>
      </w:r>
      <w:r w:rsidR="00D35E9B">
        <w:t>social security number</w:t>
      </w:r>
      <w:r w:rsidR="00A25DA8">
        <w:t xml:space="preserve"> in the user profile</w:t>
      </w:r>
      <w:r w:rsidR="00D35E9B">
        <w:t xml:space="preserve">, Company-employed </w:t>
      </w:r>
      <w:r w:rsidR="001A4578">
        <w:t>s</w:t>
      </w:r>
      <w:r w:rsidR="00D35E9B">
        <w:t>ervice</w:t>
      </w:r>
      <w:r w:rsidR="001A4578">
        <w:t xml:space="preserve"> p</w:t>
      </w:r>
      <w:r w:rsidR="00D35E9B">
        <w:t>roviders will need to enter the EIN</w:t>
      </w:r>
      <w:r w:rsidR="00B806BD">
        <w:t xml:space="preserve">.  Once you have saved your </w:t>
      </w:r>
      <w:r w:rsidR="00D35E9B">
        <w:t>social security number</w:t>
      </w:r>
      <w:r w:rsidR="00B806BD">
        <w:t>, it become</w:t>
      </w:r>
      <w:r w:rsidR="00800DBF">
        <w:t>s</w:t>
      </w:r>
      <w:r w:rsidR="00B806BD">
        <w:t xml:space="preserve"> read-only and t</w:t>
      </w:r>
      <w:r w:rsidR="001A4578">
        <w:t>he record is transmitted to CJA</w:t>
      </w:r>
      <w:r w:rsidR="004D4BA3">
        <w:t xml:space="preserve"> </w:t>
      </w:r>
      <w:r w:rsidR="00B806BD">
        <w:t xml:space="preserve">6x.  Once </w:t>
      </w:r>
      <w:r w:rsidR="00800DBF">
        <w:t>your</w:t>
      </w:r>
      <w:r w:rsidR="00B806BD">
        <w:t xml:space="preserve"> record has been transmitted to CJA6x, any changes to the </w:t>
      </w:r>
      <w:r w:rsidR="00D35E9B">
        <w:t>social security number</w:t>
      </w:r>
      <w:r w:rsidR="00B806BD">
        <w:t xml:space="preserve"> can only be made by an eVoucher administrator. </w:t>
      </w:r>
      <w:r w:rsidR="00800DBF">
        <w:t>If you need to make a change, you must contact your court.</w:t>
      </w:r>
      <w:r w:rsidR="00B806BD">
        <w:t xml:space="preserve"> </w:t>
      </w:r>
    </w:p>
    <w:p w14:paraId="273C46D8" w14:textId="2207D5A0" w:rsidR="00877779" w:rsidRDefault="003D6D64" w:rsidP="003D6D64">
      <w:pPr>
        <w:jc w:val="left"/>
      </w:pPr>
      <w:r>
        <w:rPr>
          <w:noProof/>
        </w:rPr>
        <w:lastRenderedPageBreak/>
        <w:drawing>
          <wp:inline distT="0" distB="0" distL="0" distR="0" wp14:anchorId="6872AA22" wp14:editId="030BAC27">
            <wp:extent cx="5943600" cy="31997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99765"/>
                    </a:xfrm>
                    <a:prstGeom prst="rect">
                      <a:avLst/>
                    </a:prstGeom>
                  </pic:spPr>
                </pic:pic>
              </a:graphicData>
            </a:graphic>
          </wp:inline>
        </w:drawing>
      </w:r>
    </w:p>
    <w:p w14:paraId="4E769DB1" w14:textId="77777777" w:rsidR="00F33209" w:rsidRDefault="00F33209" w:rsidP="00F33209">
      <w:pPr>
        <w:pStyle w:val="Heading1"/>
      </w:pPr>
      <w:r>
        <w:t>Billing Info</w:t>
      </w:r>
    </w:p>
    <w:p w14:paraId="378C653F" w14:textId="4B0F6805" w:rsidR="00F33209" w:rsidRDefault="003414D8" w:rsidP="00877779">
      <w:r>
        <w:t>The billing i</w:t>
      </w:r>
      <w:r w:rsidR="00F33209">
        <w:t xml:space="preserve">nformation for your services is contained in </w:t>
      </w:r>
      <w:r w:rsidR="00F33209" w:rsidRPr="003414D8">
        <w:t xml:space="preserve">the </w:t>
      </w:r>
      <w:r w:rsidR="00F33209" w:rsidRPr="00391502">
        <w:rPr>
          <w:b/>
        </w:rPr>
        <w:t>Billing Info</w:t>
      </w:r>
      <w:r w:rsidR="00F33209" w:rsidRPr="003414D8">
        <w:t xml:space="preserve"> section of the profile. If your </w:t>
      </w:r>
      <w:r w:rsidR="00BD1F1B">
        <w:t>personal i</w:t>
      </w:r>
      <w:r w:rsidR="00F33209" w:rsidRPr="003414D8">
        <w:t>nfo</w:t>
      </w:r>
      <w:r w:rsidR="00BD1F1B">
        <w:t>rmation,</w:t>
      </w:r>
      <w:r w:rsidR="00F33209" w:rsidRPr="003414D8">
        <w:t xml:space="preserve"> address</w:t>
      </w:r>
      <w:r w:rsidR="00BD1F1B">
        <w:t>,</w:t>
      </w:r>
      <w:r w:rsidR="00F33209" w:rsidRPr="003414D8">
        <w:t xml:space="preserve"> and phone are correct, you can selec</w:t>
      </w:r>
      <w:r w:rsidR="00F33209">
        <w:t xml:space="preserve">t the </w:t>
      </w:r>
      <w:r w:rsidR="00F33209" w:rsidRPr="003414D8">
        <w:rPr>
          <w:b/>
        </w:rPr>
        <w:t>Copy Address from Profile</w:t>
      </w:r>
      <w:r w:rsidR="00C64566">
        <w:rPr>
          <w:b/>
        </w:rPr>
        <w:t xml:space="preserve"> </w:t>
      </w:r>
      <w:r w:rsidR="00C64566" w:rsidRPr="00C64566">
        <w:t>check box</w:t>
      </w:r>
      <w:r w:rsidR="00F33209" w:rsidRPr="00C64566">
        <w:t>.</w:t>
      </w:r>
      <w:r w:rsidR="00F33209">
        <w:t xml:space="preserve"> You will not be allowed to submit a voucher in CJA eVoucher without complete billing information.</w:t>
      </w:r>
      <w:r w:rsidR="00013FFB">
        <w:t xml:space="preserve"> You may edit the </w:t>
      </w:r>
      <w:r w:rsidR="00BD1F1B">
        <w:t>billing i</w:t>
      </w:r>
      <w:r w:rsidR="00013FFB" w:rsidRPr="003414D8">
        <w:t>nfo</w:t>
      </w:r>
      <w:r w:rsidR="00013FFB">
        <w:t xml:space="preserve"> by clicking </w:t>
      </w:r>
      <w:r w:rsidR="00013FFB" w:rsidRPr="003414D8">
        <w:rPr>
          <w:b/>
        </w:rPr>
        <w:t>Edit</w:t>
      </w:r>
      <w:r w:rsidR="00013FFB">
        <w:t xml:space="preserve"> to the far right of the </w:t>
      </w:r>
      <w:r w:rsidR="00013FFB" w:rsidRPr="00391502">
        <w:rPr>
          <w:b/>
        </w:rPr>
        <w:t>Billing Info</w:t>
      </w:r>
      <w:r w:rsidR="00013FFB">
        <w:t xml:space="preserve"> section of the profile.</w:t>
      </w:r>
    </w:p>
    <w:p w14:paraId="5C412BD3" w14:textId="13E7AFA7" w:rsidR="00D35E9B" w:rsidRDefault="00D35E9B" w:rsidP="003D6D64">
      <w:pPr>
        <w:jc w:val="left"/>
      </w:pPr>
      <w:r>
        <w:t xml:space="preserve">Company-employed service providers are </w:t>
      </w:r>
      <w:r w:rsidRPr="00AA5EEB">
        <w:t>required to enter t</w:t>
      </w:r>
      <w:r>
        <w:t>heir name, email information, company’s EIN, name, and payment address information in the billing information section of the user profile.  This information is used to establish the company’s record in CJA 6x.</w:t>
      </w:r>
    </w:p>
    <w:p w14:paraId="4B3B1EC2" w14:textId="1A8BD8FA" w:rsidR="00877779" w:rsidRDefault="003D6D64" w:rsidP="00877779">
      <w:r>
        <w:rPr>
          <w:noProof/>
        </w:rPr>
        <w:drawing>
          <wp:inline distT="0" distB="0" distL="0" distR="0" wp14:anchorId="020FA6A5" wp14:editId="128003CA">
            <wp:extent cx="6124575" cy="314080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71979" cy="3165116"/>
                    </a:xfrm>
                    <a:prstGeom prst="rect">
                      <a:avLst/>
                    </a:prstGeom>
                  </pic:spPr>
                </pic:pic>
              </a:graphicData>
            </a:graphic>
          </wp:inline>
        </w:drawing>
      </w:r>
    </w:p>
    <w:p w14:paraId="3617E1E7" w14:textId="637DD4D9" w:rsidR="00013FFB" w:rsidRDefault="00013FFB" w:rsidP="0009127D">
      <w:pPr>
        <w:spacing w:line="240" w:lineRule="auto"/>
      </w:pPr>
      <w:r>
        <w:lastRenderedPageBreak/>
        <w:t>You may add additional</w:t>
      </w:r>
      <w:r w:rsidR="00C64566">
        <w:t xml:space="preserve"> billing records by clicking</w:t>
      </w:r>
      <w:r>
        <w:t xml:space="preserve"> </w:t>
      </w:r>
      <w:r w:rsidRPr="003414D8">
        <w:rPr>
          <w:b/>
        </w:rPr>
        <w:t>Add</w:t>
      </w:r>
      <w:r w:rsidR="00C64566">
        <w:t xml:space="preserve">. </w:t>
      </w:r>
      <w:r w:rsidR="005478D0">
        <w:t xml:space="preserve">You, or the attorney for whom you are providing services, must choose the billing information you wish to use when creating vouchers or authorizations. </w:t>
      </w:r>
    </w:p>
    <w:p w14:paraId="4D422433" w14:textId="3528C2A0" w:rsidR="00376080" w:rsidRDefault="00376080" w:rsidP="00376080">
      <w:pPr>
        <w:jc w:val="left"/>
      </w:pPr>
      <w:r>
        <w:t xml:space="preserve">Payments cannot be made if the </w:t>
      </w:r>
      <w:r w:rsidR="00D35E9B">
        <w:t>social security number or EIN</w:t>
      </w:r>
      <w:r>
        <w:t xml:space="preserve"> is missing from your profile.  This is a requirement of the payment system </w:t>
      </w:r>
      <w:r w:rsidR="00182AD5">
        <w:t>with which eVoucher is interfacing.</w:t>
      </w:r>
    </w:p>
    <w:p w14:paraId="7D7384BA" w14:textId="5F23932A" w:rsidR="00376080" w:rsidRDefault="00376080" w:rsidP="00376080">
      <w:pPr>
        <w:jc w:val="left"/>
      </w:pPr>
      <w:r>
        <w:t xml:space="preserve">The </w:t>
      </w:r>
      <w:r w:rsidRPr="00182AD5">
        <w:rPr>
          <w:b/>
        </w:rPr>
        <w:t>Billing Info</w:t>
      </w:r>
      <w:r>
        <w:t xml:space="preserve"> se</w:t>
      </w:r>
      <w:r w:rsidR="00182AD5">
        <w:t xml:space="preserve">ction has added </w:t>
      </w:r>
      <w:r w:rsidR="00182AD5" w:rsidRPr="00182AD5">
        <w:rPr>
          <w:b/>
        </w:rPr>
        <w:t>Billing Type</w:t>
      </w:r>
      <w:r>
        <w:t xml:space="preserve"> </w:t>
      </w:r>
      <w:r w:rsidR="00182AD5">
        <w:t>radio buttons that include</w:t>
      </w:r>
      <w:r>
        <w:t xml:space="preserve">:  </w:t>
      </w:r>
    </w:p>
    <w:p w14:paraId="53B7C95B" w14:textId="173F3A69" w:rsidR="00376080" w:rsidRDefault="00182AD5" w:rsidP="00376080">
      <w:pPr>
        <w:pStyle w:val="ListParagraph"/>
        <w:numPr>
          <w:ilvl w:val="0"/>
          <w:numId w:val="19"/>
        </w:numPr>
        <w:jc w:val="left"/>
      </w:pPr>
      <w:r>
        <w:rPr>
          <w:b/>
        </w:rPr>
        <w:t>Self-Employed</w:t>
      </w:r>
      <w:r w:rsidR="00376080">
        <w:t xml:space="preserve"> - used when payments are made to the </w:t>
      </w:r>
      <w:r w:rsidR="00A95F90">
        <w:t>expert</w:t>
      </w:r>
      <w:r w:rsidR="00376080">
        <w:t>’s social security number.</w:t>
      </w:r>
    </w:p>
    <w:p w14:paraId="4CB49694" w14:textId="705F3A0E" w:rsidR="00376080" w:rsidRDefault="00D35E9B" w:rsidP="00376080">
      <w:pPr>
        <w:pStyle w:val="ListParagraph"/>
        <w:numPr>
          <w:ilvl w:val="0"/>
          <w:numId w:val="19"/>
        </w:numPr>
        <w:jc w:val="left"/>
      </w:pPr>
      <w:r w:rsidRPr="00182AD5">
        <w:rPr>
          <w:b/>
        </w:rPr>
        <w:t>Company</w:t>
      </w:r>
      <w:r w:rsidR="00376080">
        <w:t xml:space="preserve"> - used when</w:t>
      </w:r>
      <w:r w:rsidR="00A95F90">
        <w:t xml:space="preserve"> payments are made to a firm’s </w:t>
      </w:r>
      <w:r w:rsidR="00376080">
        <w:t xml:space="preserve">EIN number.  </w:t>
      </w:r>
    </w:p>
    <w:p w14:paraId="1FF98249" w14:textId="2537D2D0" w:rsidR="00376080" w:rsidRDefault="00376080" w:rsidP="00376080">
      <w:pPr>
        <w:jc w:val="left"/>
      </w:pPr>
      <w:r>
        <w:t xml:space="preserve">Validations have been added to billing information to ensure the data is in the proper format to be sent to the payment system.   If the data is not in the proper format, payments cannot be made.  The system will alert you if there are problems with your billing information data.  You will need to fix those problems before payments can be made.  We ask that you access your profile and verify your social security number, add your social security number if it is not there (unless you are acting only as an associate on the system) and verify your billing information.  Please do this as soon as possible so there will not be an interruption in your payments.  </w:t>
      </w:r>
    </w:p>
    <w:p w14:paraId="4207ED0E" w14:textId="7FFD3D1A" w:rsidR="00376080" w:rsidRDefault="00182AD5" w:rsidP="00376080">
      <w:pPr>
        <w:jc w:val="left"/>
      </w:pPr>
      <w:r>
        <w:t>P</w:t>
      </w:r>
      <w:r w:rsidR="00376080">
        <w:t xml:space="preserve">lease note that you will not be able to change your social security number or your EIN once it has been synced with the interface.   </w:t>
      </w:r>
      <w:r w:rsidR="00A95F90">
        <w:t xml:space="preserve">Only the CJA6XAdmin user will have rights to change </w:t>
      </w:r>
      <w:r w:rsidR="001A4578">
        <w:t>social security number</w:t>
      </w:r>
      <w:r w:rsidR="00A95F90">
        <w:t>s.</w:t>
      </w:r>
      <w:r w:rsidR="00376080">
        <w:t xml:space="preserve">   Also, remember to add new or add</w:t>
      </w:r>
      <w:r w:rsidR="00E421C5">
        <w:t xml:space="preserve">itional billing records if your </w:t>
      </w:r>
      <w:r w:rsidR="00376080">
        <w:t>billing information changes.  Do not edit the existing record.</w:t>
      </w:r>
    </w:p>
    <w:p w14:paraId="451E1750" w14:textId="77777777" w:rsidR="00560338" w:rsidRDefault="00560338" w:rsidP="0009127D">
      <w:pPr>
        <w:pStyle w:val="Heading1"/>
        <w:spacing w:line="240" w:lineRule="auto"/>
      </w:pPr>
      <w:r>
        <w:t>Expert Specialties</w:t>
      </w:r>
    </w:p>
    <w:p w14:paraId="2E71411D" w14:textId="77777777" w:rsidR="00560338" w:rsidRDefault="00560338" w:rsidP="00877779">
      <w:r>
        <w:t xml:space="preserve">The </w:t>
      </w:r>
      <w:r w:rsidRPr="00672789">
        <w:rPr>
          <w:b/>
        </w:rPr>
        <w:t>Expert Specialties</w:t>
      </w:r>
      <w:r>
        <w:t xml:space="preserve"> section will list any specialties for which you are approved for</w:t>
      </w:r>
      <w:r w:rsidR="003414D8">
        <w:t xml:space="preserve"> eVoucher billing. </w:t>
      </w:r>
      <w:r w:rsidR="00672789">
        <w:t>If you are selected from the approved experts</w:t>
      </w:r>
      <w:r w:rsidR="00E07E00">
        <w:t xml:space="preserve"> list</w:t>
      </w:r>
      <w:r w:rsidR="00672789">
        <w:t>, w</w:t>
      </w:r>
      <w:r w:rsidR="003414D8">
        <w:t>hen vouchers</w:t>
      </w:r>
      <w:r>
        <w:t xml:space="preserve"> or authorizations for service providers are created in eVoucher, the selection of your specialty will populate your name and billing information (with </w:t>
      </w:r>
      <w:r w:rsidR="00D35E9B">
        <w:t>social security number</w:t>
      </w:r>
      <w:r>
        <w:t>/EIN masked). That specialty will also be checked on any of the CJA forms (CJA-21, CJA-24, or CJA-31) created in eVoucher.</w:t>
      </w:r>
    </w:p>
    <w:p w14:paraId="49DBC256" w14:textId="77777777" w:rsidR="00877779" w:rsidRDefault="00877779" w:rsidP="00877779">
      <w:r>
        <w:rPr>
          <w:noProof/>
        </w:rPr>
        <w:lastRenderedPageBreak/>
        <w:drawing>
          <wp:inline distT="0" distB="0" distL="0" distR="0" wp14:anchorId="5B7BEAD3" wp14:editId="3BEC9504">
            <wp:extent cx="4506163" cy="6862679"/>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special.jpg"/>
                    <pic:cNvPicPr/>
                  </pic:nvPicPr>
                  <pic:blipFill>
                    <a:blip r:embed="rId14">
                      <a:extLst>
                        <a:ext uri="{28A0092B-C50C-407E-A947-70E740481C1C}">
                          <a14:useLocalDpi xmlns:a14="http://schemas.microsoft.com/office/drawing/2010/main" val="0"/>
                        </a:ext>
                      </a:extLst>
                    </a:blip>
                    <a:stretch>
                      <a:fillRect/>
                    </a:stretch>
                  </pic:blipFill>
                  <pic:spPr>
                    <a:xfrm>
                      <a:off x="0" y="0"/>
                      <a:ext cx="4506163" cy="6862679"/>
                    </a:xfrm>
                    <a:prstGeom prst="rect">
                      <a:avLst/>
                    </a:prstGeom>
                  </pic:spPr>
                </pic:pic>
              </a:graphicData>
            </a:graphic>
          </wp:inline>
        </w:drawing>
      </w:r>
    </w:p>
    <w:p w14:paraId="0EBB3E0E" w14:textId="77777777" w:rsidR="0086655B" w:rsidRDefault="0086655B">
      <w:pPr>
        <w:jc w:val="left"/>
        <w:rPr>
          <w:rFonts w:ascii="Calibri" w:eastAsiaTheme="majorEastAsia" w:hAnsi="Calibri" w:cstheme="majorBidi"/>
          <w:b/>
          <w:bCs/>
          <w:color w:val="365F91" w:themeColor="accent1" w:themeShade="BF"/>
          <w:sz w:val="36"/>
          <w:szCs w:val="28"/>
        </w:rPr>
      </w:pPr>
      <w:r>
        <w:br w:type="page"/>
      </w:r>
    </w:p>
    <w:p w14:paraId="40484646" w14:textId="77777777" w:rsidR="004A26E4" w:rsidRDefault="004A26E4" w:rsidP="004A26E4">
      <w:pPr>
        <w:pStyle w:val="Heading1"/>
      </w:pPr>
      <w:r>
        <w:lastRenderedPageBreak/>
        <w:t>Home Page and Navigation (menu)</w:t>
      </w:r>
    </w:p>
    <w:p w14:paraId="2FBCC532" w14:textId="6F9FF05D" w:rsidR="004A26E4" w:rsidRPr="00C637FF" w:rsidRDefault="00672789" w:rsidP="004A26E4">
      <w:r>
        <w:t>The home p</w:t>
      </w:r>
      <w:r w:rsidR="004A26E4">
        <w:t xml:space="preserve">age provides access to information about your cases and billing </w:t>
      </w:r>
      <w:r w:rsidR="004D4BA3">
        <w:t xml:space="preserve">information </w:t>
      </w:r>
      <w:r w:rsidR="00182AD5">
        <w:t>which</w:t>
      </w:r>
      <w:r w:rsidR="004A26E4">
        <w:t xml:space="preserve"> you submit, or</w:t>
      </w:r>
      <w:r w:rsidR="001A4578">
        <w:t xml:space="preserve"> the</w:t>
      </w:r>
      <w:r w:rsidR="004A26E4">
        <w:t xml:space="preserve"> billing </w:t>
      </w:r>
      <w:r w:rsidR="004D4BA3">
        <w:t>information the attorney submitted</w:t>
      </w:r>
      <w:r w:rsidR="004A26E4">
        <w:t xml:space="preserve"> on your behalf.</w:t>
      </w:r>
    </w:p>
    <w:p w14:paraId="77E5D9DD" w14:textId="77777777" w:rsidR="004A26E4" w:rsidRDefault="00E97A0D" w:rsidP="00877779">
      <w:r>
        <w:rPr>
          <w:noProof/>
        </w:rPr>
        <w:drawing>
          <wp:inline distT="0" distB="0" distL="0" distR="0" wp14:anchorId="7E1D97A9" wp14:editId="50502D19">
            <wp:extent cx="5943600" cy="22466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246630"/>
                    </a:xfrm>
                    <a:prstGeom prst="rect">
                      <a:avLst/>
                    </a:prstGeom>
                  </pic:spPr>
                </pic:pic>
              </a:graphicData>
            </a:graphic>
          </wp:inline>
        </w:drawing>
      </w:r>
    </w:p>
    <w:p w14:paraId="47E3F729" w14:textId="77777777" w:rsidR="004A26E4" w:rsidRDefault="004A26E4" w:rsidP="00877779"/>
    <w:p w14:paraId="0F8DADC0" w14:textId="77777777" w:rsidR="00795902" w:rsidRDefault="00795902" w:rsidP="00795902">
      <w:pPr>
        <w:pStyle w:val="Heading2"/>
      </w:pPr>
      <w:r>
        <w:t>My Documents</w:t>
      </w:r>
    </w:p>
    <w:p w14:paraId="494F47A9" w14:textId="77777777" w:rsidR="00795902" w:rsidRDefault="00795902" w:rsidP="00877779">
      <w:r>
        <w:t xml:space="preserve">The </w:t>
      </w:r>
      <w:r w:rsidRPr="00672789">
        <w:rPr>
          <w:b/>
        </w:rPr>
        <w:t>My Documents</w:t>
      </w:r>
      <w:r>
        <w:t xml:space="preserve"> folder contains vouchers which have been created by you or for you by the attorney. They have not yet been submitted to the court for processing.</w:t>
      </w:r>
    </w:p>
    <w:p w14:paraId="017CFEFB" w14:textId="77777777" w:rsidR="00795902" w:rsidRDefault="00795902" w:rsidP="00795902">
      <w:pPr>
        <w:pStyle w:val="Heading2"/>
      </w:pPr>
      <w:r>
        <w:t>My Submitted Documents</w:t>
      </w:r>
    </w:p>
    <w:p w14:paraId="334E9BD5" w14:textId="77777777" w:rsidR="00795902" w:rsidRDefault="00795902" w:rsidP="00877779">
      <w:r>
        <w:t xml:space="preserve">The </w:t>
      </w:r>
      <w:r w:rsidRPr="00672789">
        <w:rPr>
          <w:b/>
        </w:rPr>
        <w:t>My Submitted Documents</w:t>
      </w:r>
      <w:r>
        <w:t xml:space="preserve"> folder contains documents which have been submitted to the court for processing.</w:t>
      </w:r>
    </w:p>
    <w:p w14:paraId="69BCFA24" w14:textId="77777777" w:rsidR="00795902" w:rsidRDefault="00795902" w:rsidP="00795902">
      <w:pPr>
        <w:pStyle w:val="Heading2"/>
      </w:pPr>
      <w:r>
        <w:t>Closed Documents</w:t>
      </w:r>
    </w:p>
    <w:p w14:paraId="11D53287" w14:textId="77777777" w:rsidR="00795902" w:rsidRDefault="00795902" w:rsidP="00877779">
      <w:r>
        <w:t xml:space="preserve">The </w:t>
      </w:r>
      <w:r w:rsidRPr="00672789">
        <w:rPr>
          <w:b/>
        </w:rPr>
        <w:t>Closed Documents</w:t>
      </w:r>
      <w:r>
        <w:t xml:space="preserve"> folder contains documents which have been completely processed.</w:t>
      </w:r>
    </w:p>
    <w:p w14:paraId="5F18D472" w14:textId="77777777" w:rsidR="009F6231" w:rsidRDefault="009F6231">
      <w:pPr>
        <w:jc w:val="left"/>
        <w:rPr>
          <w:rFonts w:ascii="Calibri" w:eastAsiaTheme="majorEastAsia" w:hAnsi="Calibri" w:cstheme="majorBidi"/>
          <w:b/>
          <w:bCs/>
          <w:color w:val="365F91" w:themeColor="accent1" w:themeShade="BF"/>
          <w:sz w:val="36"/>
          <w:szCs w:val="28"/>
        </w:rPr>
      </w:pPr>
      <w:r>
        <w:br w:type="page"/>
      </w:r>
    </w:p>
    <w:p w14:paraId="569AFE6B" w14:textId="77777777" w:rsidR="00795902" w:rsidRDefault="00795902" w:rsidP="00795902">
      <w:pPr>
        <w:pStyle w:val="Heading1"/>
      </w:pPr>
      <w:r>
        <w:lastRenderedPageBreak/>
        <w:t>The eVoucher menu</w:t>
      </w:r>
    </w:p>
    <w:p w14:paraId="131F2305" w14:textId="77777777" w:rsidR="00360DAE" w:rsidRDefault="002558E4" w:rsidP="00877779">
      <w:r>
        <w:rPr>
          <w:noProof/>
        </w:rPr>
        <w:drawing>
          <wp:inline distT="0" distB="0" distL="0" distR="0" wp14:anchorId="4C90D26C" wp14:editId="6AE5656E">
            <wp:extent cx="2971429" cy="23809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1429" cy="238095"/>
                    </a:xfrm>
                    <a:prstGeom prst="rect">
                      <a:avLst/>
                    </a:prstGeom>
                  </pic:spPr>
                </pic:pic>
              </a:graphicData>
            </a:graphic>
          </wp:inline>
        </w:drawing>
      </w:r>
    </w:p>
    <w:tbl>
      <w:tblPr>
        <w:tblStyle w:val="ColorfulList-Accent5"/>
        <w:tblW w:w="0" w:type="auto"/>
        <w:tblCellSpacing w:w="20" w:type="dxa"/>
        <w:tblInd w:w="253" w:type="dxa"/>
        <w:tblBorders>
          <w:top w:val="inset" w:sz="6" w:space="0" w:color="auto"/>
          <w:left w:val="inset" w:sz="6" w:space="0" w:color="auto"/>
          <w:bottom w:val="outset" w:sz="6" w:space="0" w:color="auto"/>
          <w:right w:val="outset" w:sz="6" w:space="0" w:color="auto"/>
        </w:tblBorders>
        <w:tblLook w:val="04A0" w:firstRow="1" w:lastRow="0" w:firstColumn="1" w:lastColumn="0" w:noHBand="0" w:noVBand="1"/>
      </w:tblPr>
      <w:tblGrid>
        <w:gridCol w:w="2305"/>
        <w:gridCol w:w="6786"/>
      </w:tblGrid>
      <w:tr w:rsidR="00236717" w14:paraId="28F167BF" w14:textId="77777777" w:rsidTr="00E97A0D">
        <w:trPr>
          <w:cnfStyle w:val="100000000000" w:firstRow="1" w:lastRow="0" w:firstColumn="0" w:lastColumn="0" w:oddVBand="0" w:evenVBand="0" w:oddHBand="0" w:evenHBand="0" w:firstRowFirstColumn="0" w:firstRowLastColumn="0" w:lastRowFirstColumn="0" w:lastRowLastColumn="0"/>
          <w:trHeight w:val="351"/>
          <w:tblCellSpacing w:w="20" w:type="dxa"/>
        </w:trPr>
        <w:tc>
          <w:tcPr>
            <w:cnfStyle w:val="001000000000" w:firstRow="0" w:lastRow="0" w:firstColumn="1" w:lastColumn="0" w:oddVBand="0" w:evenVBand="0" w:oddHBand="0" w:evenHBand="0" w:firstRowFirstColumn="0" w:firstRowLastColumn="0" w:lastRowFirstColumn="0" w:lastRowLastColumn="0"/>
            <w:tcW w:w="2245" w:type="dxa"/>
            <w:tcBorders>
              <w:bottom w:val="none" w:sz="0" w:space="0" w:color="auto"/>
            </w:tcBorders>
            <w:shd w:val="clear" w:color="auto" w:fill="3B5999"/>
          </w:tcPr>
          <w:p w14:paraId="2C8F299F" w14:textId="77777777" w:rsidR="00236717" w:rsidRPr="005D466D" w:rsidRDefault="00236717" w:rsidP="00236717">
            <w:pPr>
              <w:rPr>
                <w:sz w:val="28"/>
              </w:rPr>
            </w:pPr>
            <w:r w:rsidRPr="00DA31BD">
              <w:rPr>
                <w:sz w:val="28"/>
              </w:rPr>
              <w:t xml:space="preserve">Menu </w:t>
            </w:r>
            <w:r>
              <w:rPr>
                <w:sz w:val="28"/>
              </w:rPr>
              <w:t xml:space="preserve">Bar </w:t>
            </w:r>
            <w:r w:rsidRPr="00DA31BD">
              <w:rPr>
                <w:sz w:val="28"/>
              </w:rPr>
              <w:t>Item</w:t>
            </w:r>
            <w:r>
              <w:rPr>
                <w:sz w:val="28"/>
              </w:rPr>
              <w:t>s</w:t>
            </w:r>
          </w:p>
        </w:tc>
        <w:tc>
          <w:tcPr>
            <w:tcW w:w="6726" w:type="dxa"/>
            <w:tcBorders>
              <w:bottom w:val="none" w:sz="0" w:space="0" w:color="auto"/>
            </w:tcBorders>
            <w:shd w:val="clear" w:color="auto" w:fill="3B5999"/>
          </w:tcPr>
          <w:p w14:paraId="0B3C7216" w14:textId="77777777" w:rsidR="00236717" w:rsidRPr="005D466D" w:rsidRDefault="00236717" w:rsidP="00236717">
            <w:pPr>
              <w:cnfStyle w:val="100000000000" w:firstRow="1" w:lastRow="0" w:firstColumn="0" w:lastColumn="0" w:oddVBand="0" w:evenVBand="0" w:oddHBand="0" w:evenHBand="0" w:firstRowFirstColumn="0" w:firstRowLastColumn="0" w:lastRowFirstColumn="0" w:lastRowLastColumn="0"/>
              <w:rPr>
                <w:sz w:val="28"/>
              </w:rPr>
            </w:pPr>
          </w:p>
        </w:tc>
      </w:tr>
      <w:tr w:rsidR="00236717" w14:paraId="7F56D647" w14:textId="77777777" w:rsidTr="00E97A0D">
        <w:trPr>
          <w:cnfStyle w:val="000000100000" w:firstRow="0" w:lastRow="0" w:firstColumn="0" w:lastColumn="0" w:oddVBand="0" w:evenVBand="0" w:oddHBand="1" w:evenHBand="0" w:firstRowFirstColumn="0" w:firstRowLastColumn="0" w:lastRowFirstColumn="0" w:lastRowLastColumn="0"/>
          <w:trHeight w:val="286"/>
          <w:tblCellSpacing w:w="20" w:type="dxa"/>
        </w:trPr>
        <w:tc>
          <w:tcPr>
            <w:cnfStyle w:val="001000000000" w:firstRow="0" w:lastRow="0" w:firstColumn="1" w:lastColumn="0" w:oddVBand="0" w:evenVBand="0" w:oddHBand="0" w:evenHBand="0" w:firstRowFirstColumn="0" w:firstRowLastColumn="0" w:lastRowFirstColumn="0" w:lastRowLastColumn="0"/>
            <w:tcW w:w="2245" w:type="dxa"/>
          </w:tcPr>
          <w:p w14:paraId="5025D53D" w14:textId="77777777" w:rsidR="00236717" w:rsidRPr="00FF6E64" w:rsidRDefault="00236717" w:rsidP="00236717">
            <w:r w:rsidRPr="00FF6E64">
              <w:t>Home</w:t>
            </w:r>
          </w:p>
        </w:tc>
        <w:tc>
          <w:tcPr>
            <w:tcW w:w="6726" w:type="dxa"/>
          </w:tcPr>
          <w:p w14:paraId="5672709B" w14:textId="1CEB04EC" w:rsidR="00236717" w:rsidRPr="005D466D" w:rsidRDefault="00236717" w:rsidP="00236717">
            <w:pPr>
              <w:cnfStyle w:val="000000100000" w:firstRow="0" w:lastRow="0" w:firstColumn="0" w:lastColumn="0" w:oddVBand="0" w:evenVBand="0" w:oddHBand="1" w:evenHBand="0" w:firstRowFirstColumn="0" w:firstRowLastColumn="0" w:lastRowFirstColumn="0" w:lastRowLastColumn="0"/>
            </w:pPr>
            <w:r>
              <w:t>The eVoucher</w:t>
            </w:r>
            <w:r w:rsidR="00182AD5">
              <w:t xml:space="preserve"> home page</w:t>
            </w:r>
          </w:p>
        </w:tc>
      </w:tr>
      <w:tr w:rsidR="00236717" w14:paraId="2D92916A" w14:textId="77777777" w:rsidTr="00E97A0D">
        <w:trPr>
          <w:trHeight w:val="274"/>
          <w:tblCellSpacing w:w="20" w:type="dxa"/>
        </w:trPr>
        <w:tc>
          <w:tcPr>
            <w:cnfStyle w:val="001000000000" w:firstRow="0" w:lastRow="0" w:firstColumn="1" w:lastColumn="0" w:oddVBand="0" w:evenVBand="0" w:oddHBand="0" w:evenHBand="0" w:firstRowFirstColumn="0" w:firstRowLastColumn="0" w:lastRowFirstColumn="0" w:lastRowLastColumn="0"/>
            <w:tcW w:w="2245" w:type="dxa"/>
          </w:tcPr>
          <w:p w14:paraId="4167582E" w14:textId="77777777" w:rsidR="00236717" w:rsidRPr="00FF6E64" w:rsidRDefault="00236717" w:rsidP="00236717">
            <w:r w:rsidRPr="00FF6E64">
              <w:t>Operations</w:t>
            </w:r>
          </w:p>
        </w:tc>
        <w:tc>
          <w:tcPr>
            <w:tcW w:w="6726" w:type="dxa"/>
          </w:tcPr>
          <w:p w14:paraId="34AEB640" w14:textId="1090BC4A" w:rsidR="00236717" w:rsidRPr="005D466D" w:rsidRDefault="00672789" w:rsidP="00FC251E">
            <w:pPr>
              <w:cnfStyle w:val="000000000000" w:firstRow="0" w:lastRow="0" w:firstColumn="0" w:lastColumn="0" w:oddVBand="0" w:evenVBand="0" w:oddHBand="0" w:evenHBand="0" w:firstRowFirstColumn="0" w:firstRowLastColumn="0" w:lastRowFirstColumn="0" w:lastRowLastColumn="0"/>
            </w:pPr>
            <w:r>
              <w:t>Appo</w:t>
            </w:r>
            <w:r w:rsidR="00182AD5">
              <w:t>intments you have been assigned</w:t>
            </w:r>
          </w:p>
        </w:tc>
      </w:tr>
      <w:tr w:rsidR="00236717" w14:paraId="2406B556" w14:textId="77777777" w:rsidTr="00E97A0D">
        <w:trPr>
          <w:cnfStyle w:val="000000100000" w:firstRow="0" w:lastRow="0" w:firstColumn="0" w:lastColumn="0" w:oddVBand="0" w:evenVBand="0" w:oddHBand="1" w:evenHBand="0" w:firstRowFirstColumn="0" w:firstRowLastColumn="0" w:lastRowFirstColumn="0" w:lastRowLastColumn="0"/>
          <w:trHeight w:val="286"/>
          <w:tblCellSpacing w:w="20" w:type="dxa"/>
        </w:trPr>
        <w:tc>
          <w:tcPr>
            <w:cnfStyle w:val="001000000000" w:firstRow="0" w:lastRow="0" w:firstColumn="1" w:lastColumn="0" w:oddVBand="0" w:evenVBand="0" w:oddHBand="0" w:evenHBand="0" w:firstRowFirstColumn="0" w:firstRowLastColumn="0" w:lastRowFirstColumn="0" w:lastRowLastColumn="0"/>
            <w:tcW w:w="2245" w:type="dxa"/>
          </w:tcPr>
          <w:p w14:paraId="6AE15304" w14:textId="77777777" w:rsidR="00236717" w:rsidRPr="00FF6E64" w:rsidRDefault="00236717" w:rsidP="00236717">
            <w:r w:rsidRPr="00FF6E64">
              <w:t>Reports</w:t>
            </w:r>
          </w:p>
        </w:tc>
        <w:tc>
          <w:tcPr>
            <w:tcW w:w="6726" w:type="dxa"/>
          </w:tcPr>
          <w:p w14:paraId="613AB38B" w14:textId="51DE6B07" w:rsidR="00236717" w:rsidRPr="005D466D" w:rsidRDefault="00236717" w:rsidP="00236717">
            <w:pPr>
              <w:cnfStyle w:val="000000100000" w:firstRow="0" w:lastRow="0" w:firstColumn="0" w:lastColumn="0" w:oddVBand="0" w:evenVBand="0" w:oddHBand="1" w:evenHBand="0" w:firstRowFirstColumn="0" w:firstRowLastColumn="0" w:lastRowFirstColumn="0" w:lastRowLastColumn="0"/>
            </w:pPr>
            <w:r>
              <w:t>Selected reports y</w:t>
            </w:r>
            <w:r w:rsidR="00182AD5">
              <w:t>ou may run on your appointments</w:t>
            </w:r>
          </w:p>
        </w:tc>
      </w:tr>
      <w:tr w:rsidR="00236717" w14:paraId="45DBF648" w14:textId="77777777" w:rsidTr="00E97A0D">
        <w:trPr>
          <w:trHeight w:val="286"/>
          <w:tblCellSpacing w:w="20" w:type="dxa"/>
        </w:trPr>
        <w:tc>
          <w:tcPr>
            <w:cnfStyle w:val="001000000000" w:firstRow="0" w:lastRow="0" w:firstColumn="1" w:lastColumn="0" w:oddVBand="0" w:evenVBand="0" w:oddHBand="0" w:evenHBand="0" w:firstRowFirstColumn="0" w:firstRowLastColumn="0" w:lastRowFirstColumn="0" w:lastRowLastColumn="0"/>
            <w:tcW w:w="2245" w:type="dxa"/>
          </w:tcPr>
          <w:p w14:paraId="306775EA" w14:textId="77777777" w:rsidR="00236717" w:rsidRPr="00FF6E64" w:rsidRDefault="00E97A0D" w:rsidP="00236717">
            <w:r>
              <w:t>Links</w:t>
            </w:r>
          </w:p>
        </w:tc>
        <w:tc>
          <w:tcPr>
            <w:tcW w:w="6726" w:type="dxa"/>
          </w:tcPr>
          <w:p w14:paraId="0C236B67" w14:textId="77777777" w:rsidR="00236717" w:rsidRDefault="00E97A0D" w:rsidP="00E97A0D">
            <w:pPr>
              <w:cnfStyle w:val="000000000000" w:firstRow="0" w:lastRow="0" w:firstColumn="0" w:lastColumn="0" w:oddVBand="0" w:evenVBand="0" w:oddHBand="0" w:evenHBand="0" w:firstRowFirstColumn="0" w:firstRowLastColumn="0" w:lastRowFirstColumn="0" w:lastRowLastColumn="0"/>
            </w:pPr>
            <w:r>
              <w:t>Hyperlinks to CJA resources: forms, guides, publications, etc.</w:t>
            </w:r>
          </w:p>
        </w:tc>
      </w:tr>
      <w:tr w:rsidR="00236717" w14:paraId="3241EFAB" w14:textId="77777777" w:rsidTr="00E97A0D">
        <w:trPr>
          <w:cnfStyle w:val="000000100000" w:firstRow="0" w:lastRow="0" w:firstColumn="0" w:lastColumn="0" w:oddVBand="0" w:evenVBand="0" w:oddHBand="1" w:evenHBand="0" w:firstRowFirstColumn="0" w:firstRowLastColumn="0" w:lastRowFirstColumn="0" w:lastRowLastColumn="0"/>
          <w:trHeight w:val="274"/>
          <w:tblCellSpacing w:w="20" w:type="dxa"/>
        </w:trPr>
        <w:tc>
          <w:tcPr>
            <w:cnfStyle w:val="001000000000" w:firstRow="0" w:lastRow="0" w:firstColumn="1" w:lastColumn="0" w:oddVBand="0" w:evenVBand="0" w:oddHBand="0" w:evenHBand="0" w:firstRowFirstColumn="0" w:firstRowLastColumn="0" w:lastRowFirstColumn="0" w:lastRowLastColumn="0"/>
            <w:tcW w:w="2245" w:type="dxa"/>
          </w:tcPr>
          <w:p w14:paraId="2283F3E9" w14:textId="77777777" w:rsidR="00236717" w:rsidRPr="00FF6E64" w:rsidRDefault="00E97A0D" w:rsidP="00236717">
            <w:r>
              <w:t>Help</w:t>
            </w:r>
          </w:p>
        </w:tc>
        <w:tc>
          <w:tcPr>
            <w:tcW w:w="6726" w:type="dxa"/>
          </w:tcPr>
          <w:p w14:paraId="3B30FD9F" w14:textId="77777777" w:rsidR="00E97A0D" w:rsidRDefault="00E97A0D" w:rsidP="00E97A0D">
            <w:pPr>
              <w:cnfStyle w:val="000000100000" w:firstRow="0" w:lastRow="0" w:firstColumn="0" w:lastColumn="0" w:oddVBand="0" w:evenVBand="0" w:oddHBand="1" w:evenHBand="0" w:firstRowFirstColumn="0" w:firstRowLastColumn="0" w:lastRowFirstColumn="0" w:lastRowLastColumn="0"/>
            </w:pPr>
            <w:r>
              <w:t>Provides:</w:t>
            </w:r>
          </w:p>
          <w:p w14:paraId="617E9DA4" w14:textId="77777777" w:rsidR="00E97A0D" w:rsidRPr="00FF6E64" w:rsidRDefault="00E97A0D" w:rsidP="00E97A0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sidRPr="00FF6E64">
              <w:t>Another link to your Profile</w:t>
            </w:r>
          </w:p>
          <w:p w14:paraId="51729776" w14:textId="77777777" w:rsidR="00E97A0D" w:rsidRPr="00FF6E64" w:rsidRDefault="00E97A0D" w:rsidP="00E97A0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sidRPr="00FF6E64">
              <w:t>“Contact Us” e-mail</w:t>
            </w:r>
          </w:p>
          <w:p w14:paraId="34295F83" w14:textId="77777777" w:rsidR="00236717" w:rsidRPr="00A279FD" w:rsidRDefault="00E97A0D" w:rsidP="00A279F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sidRPr="00A279FD">
              <w:t>Privacy Notice</w:t>
            </w:r>
          </w:p>
        </w:tc>
      </w:tr>
      <w:tr w:rsidR="00236717" w14:paraId="332D6BCE" w14:textId="77777777" w:rsidTr="00E97A0D">
        <w:trPr>
          <w:trHeight w:val="232"/>
          <w:tblCellSpacing w:w="20" w:type="dxa"/>
        </w:trPr>
        <w:tc>
          <w:tcPr>
            <w:cnfStyle w:val="001000000000" w:firstRow="0" w:lastRow="0" w:firstColumn="1" w:lastColumn="0" w:oddVBand="0" w:evenVBand="0" w:oddHBand="0" w:evenHBand="0" w:firstRowFirstColumn="0" w:firstRowLastColumn="0" w:lastRowFirstColumn="0" w:lastRowLastColumn="0"/>
            <w:tcW w:w="2245" w:type="dxa"/>
          </w:tcPr>
          <w:p w14:paraId="26944D1D" w14:textId="77777777" w:rsidR="00236717" w:rsidRPr="00FF6E64" w:rsidRDefault="00E97A0D" w:rsidP="00236717">
            <w:r>
              <w:t>Logout</w:t>
            </w:r>
          </w:p>
        </w:tc>
        <w:tc>
          <w:tcPr>
            <w:tcW w:w="6726" w:type="dxa"/>
          </w:tcPr>
          <w:p w14:paraId="225F0AC8" w14:textId="52B8FD95" w:rsidR="00236717" w:rsidRPr="00E97A0D" w:rsidRDefault="00E97A0D" w:rsidP="00E97A0D">
            <w:pPr>
              <w:cnfStyle w:val="000000000000" w:firstRow="0" w:lastRow="0" w:firstColumn="0" w:lastColumn="0" w:oddVBand="0" w:evenVBand="0" w:oddHBand="0" w:evenHBand="0" w:firstRowFirstColumn="0" w:firstRowLastColumn="0" w:lastRowFirstColumn="0" w:lastRowLastColumn="0"/>
            </w:pPr>
            <w:r>
              <w:t>Log</w:t>
            </w:r>
            <w:r w:rsidR="00182AD5">
              <w:t>s user off the eVoucher program</w:t>
            </w:r>
          </w:p>
        </w:tc>
      </w:tr>
    </w:tbl>
    <w:p w14:paraId="708D8CCF" w14:textId="77777777" w:rsidR="004D6368" w:rsidRDefault="004D6368" w:rsidP="00877779">
      <w:pPr>
        <w:pStyle w:val="Heading1"/>
      </w:pPr>
      <w:r>
        <w:t>Expert v. Expert Enter</w:t>
      </w:r>
    </w:p>
    <w:p w14:paraId="015FCC47" w14:textId="7366D504" w:rsidR="00D76C7A" w:rsidRDefault="00D76C7A" w:rsidP="00D76C7A">
      <w:r>
        <w:t>CJA eVoucher</w:t>
      </w:r>
      <w:r w:rsidR="00376B01">
        <w:t xml:space="preserve"> allows two designations for e</w:t>
      </w:r>
      <w:r>
        <w:t xml:space="preserve">xperts to complete the voucher: </w:t>
      </w:r>
      <w:r w:rsidRPr="00376B01">
        <w:rPr>
          <w:b/>
        </w:rPr>
        <w:t>Expert</w:t>
      </w:r>
      <w:r>
        <w:t xml:space="preserve"> and </w:t>
      </w:r>
      <w:r w:rsidRPr="00376B01">
        <w:rPr>
          <w:b/>
        </w:rPr>
        <w:t>Expert Enter</w:t>
      </w:r>
      <w:r>
        <w:t xml:space="preserve">. When the service provider logs in, he or she will see a list of all of his or her documents on the home page. The </w:t>
      </w:r>
      <w:r w:rsidRPr="00376B01">
        <w:rPr>
          <w:b/>
        </w:rPr>
        <w:t xml:space="preserve">Expert </w:t>
      </w:r>
      <w:r>
        <w:t xml:space="preserve">role will allow the service provider to log in to eVoucher, </w:t>
      </w:r>
      <w:r w:rsidRPr="00E13BB0">
        <w:t>view</w:t>
      </w:r>
      <w:r w:rsidRPr="007A725F">
        <w:rPr>
          <w:i/>
        </w:rPr>
        <w:t xml:space="preserve"> </w:t>
      </w:r>
      <w:r>
        <w:t xml:space="preserve">any documents the attorney is creating on his or her behalf, verify the information is correct, and run reports or copies of the CJA-21 or CJA-31. </w:t>
      </w:r>
    </w:p>
    <w:p w14:paraId="532C62A2" w14:textId="10A8D0AF" w:rsidR="00D76C7A" w:rsidRDefault="00D76C7A" w:rsidP="00D76C7A">
      <w:r>
        <w:t xml:space="preserve">The </w:t>
      </w:r>
      <w:r w:rsidRPr="00376B01">
        <w:rPr>
          <w:b/>
        </w:rPr>
        <w:t>Expert Enter</w:t>
      </w:r>
      <w:r>
        <w:t xml:space="preserve"> role allows the expert to complete his or her voucher after the attorney has created it. If the attorney selects an expert who has Expert Enter privileges, he</w:t>
      </w:r>
      <w:r w:rsidR="001A4578">
        <w:t xml:space="preserve"> or she</w:t>
      </w:r>
      <w:r>
        <w:t xml:space="preserve"> will be able to choose if the attorney or the expert will complete the voucher. The expert can then enter the correct information and submit the voucher back to the attorney for approval.</w:t>
      </w:r>
    </w:p>
    <w:p w14:paraId="68D0CC73" w14:textId="77777777" w:rsidR="00FB5E25" w:rsidRDefault="00FB5E25" w:rsidP="00DD4073">
      <w:r>
        <w:rPr>
          <w:noProof/>
        </w:rPr>
        <w:drawing>
          <wp:inline distT="0" distB="0" distL="0" distR="0" wp14:anchorId="7D7111E3" wp14:editId="75C82514">
            <wp:extent cx="4743450" cy="552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jpg"/>
                    <pic:cNvPicPr/>
                  </pic:nvPicPr>
                  <pic:blipFill>
                    <a:blip r:embed="rId17">
                      <a:extLst>
                        <a:ext uri="{28A0092B-C50C-407E-A947-70E740481C1C}">
                          <a14:useLocalDpi xmlns:a14="http://schemas.microsoft.com/office/drawing/2010/main" val="0"/>
                        </a:ext>
                      </a:extLst>
                    </a:blip>
                    <a:stretch>
                      <a:fillRect/>
                    </a:stretch>
                  </pic:blipFill>
                  <pic:spPr>
                    <a:xfrm>
                      <a:off x="0" y="0"/>
                      <a:ext cx="4743450" cy="552450"/>
                    </a:xfrm>
                    <a:prstGeom prst="rect">
                      <a:avLst/>
                    </a:prstGeom>
                  </pic:spPr>
                </pic:pic>
              </a:graphicData>
            </a:graphic>
          </wp:inline>
        </w:drawing>
      </w:r>
    </w:p>
    <w:p w14:paraId="2D4036CA" w14:textId="77777777" w:rsidR="004D6368" w:rsidRDefault="004D6368" w:rsidP="00877779">
      <w:pPr>
        <w:pStyle w:val="Heading1"/>
      </w:pPr>
      <w:r>
        <w:t>CJA-21/31 Entry</w:t>
      </w:r>
    </w:p>
    <w:p w14:paraId="1382A326" w14:textId="77777777" w:rsidR="00B7067B" w:rsidRDefault="00B7067B" w:rsidP="00B7067B">
      <w:r>
        <w:t>The attorney will create the CJA</w:t>
      </w:r>
      <w:r w:rsidR="00672789">
        <w:t>-21 or CJA-31 voucher.  If the e</w:t>
      </w:r>
      <w:r>
        <w:t>xpert selected is authorized to use eVoucher (</w:t>
      </w:r>
      <w:r w:rsidRPr="00376B01">
        <w:rPr>
          <w:b/>
        </w:rPr>
        <w:t>Expert Enter</w:t>
      </w:r>
      <w:r>
        <w:t xml:space="preserve"> rights), the </w:t>
      </w:r>
      <w:r w:rsidR="004D019A">
        <w:t>attorney can choose to let the e</w:t>
      </w:r>
      <w:r>
        <w:t xml:space="preserve">xpert enter the services and expenses. The attorney </w:t>
      </w:r>
      <w:r w:rsidR="002910FC">
        <w:t>should notify the service provider that the voucher has been created and is awaiting completion by the provider.</w:t>
      </w:r>
    </w:p>
    <w:p w14:paraId="15B9B263" w14:textId="77777777" w:rsidR="002910FC" w:rsidRDefault="002910FC" w:rsidP="00B7067B">
      <w:r>
        <w:t xml:space="preserve">Log in to the eVoucher application. The voucher should appear in your </w:t>
      </w:r>
      <w:r w:rsidRPr="00660C1D">
        <w:rPr>
          <w:b/>
        </w:rPr>
        <w:t>My Documents</w:t>
      </w:r>
      <w:r>
        <w:t xml:space="preserve"> folder on your home page.</w:t>
      </w:r>
    </w:p>
    <w:p w14:paraId="0FFD41AE" w14:textId="77777777" w:rsidR="002910FC" w:rsidRDefault="002558E4" w:rsidP="002558E4">
      <w:r>
        <w:rPr>
          <w:noProof/>
        </w:rPr>
        <w:lastRenderedPageBreak/>
        <w:drawing>
          <wp:inline distT="0" distB="0" distL="0" distR="0" wp14:anchorId="1A435499" wp14:editId="24112D74">
            <wp:extent cx="5933333" cy="1085714"/>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33333" cy="1085714"/>
                    </a:xfrm>
                    <a:prstGeom prst="rect">
                      <a:avLst/>
                    </a:prstGeom>
                  </pic:spPr>
                </pic:pic>
              </a:graphicData>
            </a:graphic>
          </wp:inline>
        </w:drawing>
      </w:r>
    </w:p>
    <w:p w14:paraId="01CD6F28" w14:textId="77777777" w:rsidR="00DD4073" w:rsidRDefault="002910FC" w:rsidP="00A87704">
      <w:r>
        <w:t xml:space="preserve">To enter your fees and expenses, click the </w:t>
      </w:r>
      <w:r w:rsidRPr="00660C1D">
        <w:rPr>
          <w:b/>
        </w:rPr>
        <w:t>Edit</w:t>
      </w:r>
      <w:r>
        <w:t xml:space="preserve"> hyperlink under the </w:t>
      </w:r>
      <w:r w:rsidRPr="00660C1D">
        <w:rPr>
          <w:b/>
        </w:rPr>
        <w:t>Status</w:t>
      </w:r>
      <w:r>
        <w:t xml:space="preserve"> column.</w:t>
      </w:r>
    </w:p>
    <w:p w14:paraId="412DF4D3" w14:textId="41B3E379" w:rsidR="00A87704" w:rsidRDefault="002910FC" w:rsidP="00A87704">
      <w:r>
        <w:t xml:space="preserve">The Voucher will open to the </w:t>
      </w:r>
      <w:r w:rsidRPr="00660C1D">
        <w:rPr>
          <w:b/>
        </w:rPr>
        <w:t>Basic Info</w:t>
      </w:r>
      <w:r w:rsidR="00376B01">
        <w:t xml:space="preserve"> tab screen. The left</w:t>
      </w:r>
      <w:r>
        <w:t xml:space="preserve"> panel will display </w:t>
      </w:r>
      <w:r w:rsidR="00660C1D">
        <w:t>a running s</w:t>
      </w:r>
      <w:r w:rsidR="005D5443">
        <w:t xml:space="preserve">ummary of </w:t>
      </w:r>
      <w:r w:rsidR="00660C1D">
        <w:t>the services and e</w:t>
      </w:r>
      <w:r w:rsidR="005D5443">
        <w:t xml:space="preserve">xpenses as they are entered and saved. </w:t>
      </w:r>
    </w:p>
    <w:p w14:paraId="1B160B56" w14:textId="77777777" w:rsidR="005D5443" w:rsidRDefault="006C5D4B" w:rsidP="00A87704">
      <w:r>
        <w:rPr>
          <w:noProof/>
        </w:rPr>
        <w:drawing>
          <wp:inline distT="0" distB="0" distL="0" distR="0" wp14:anchorId="420973A3" wp14:editId="7FA60C67">
            <wp:extent cx="5943600" cy="42583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258310"/>
                    </a:xfrm>
                    <a:prstGeom prst="rect">
                      <a:avLst/>
                    </a:prstGeom>
                  </pic:spPr>
                </pic:pic>
              </a:graphicData>
            </a:graphic>
          </wp:inline>
        </w:drawing>
      </w:r>
    </w:p>
    <w:p w14:paraId="37BDB411" w14:textId="77777777" w:rsidR="005D5443" w:rsidRDefault="005D5443" w:rsidP="00A87704">
      <w:r>
        <w:t xml:space="preserve">To enter your service fees and expenses, </w:t>
      </w:r>
      <w:r w:rsidR="00660C1D">
        <w:t xml:space="preserve">from the </w:t>
      </w:r>
      <w:r w:rsidR="00660C1D" w:rsidRPr="00660C1D">
        <w:rPr>
          <w:b/>
        </w:rPr>
        <w:t>Basic Info</w:t>
      </w:r>
      <w:r w:rsidR="00660C1D">
        <w:t xml:space="preserve"> screen, click</w:t>
      </w:r>
      <w:r>
        <w:t xml:space="preserve"> the </w:t>
      </w:r>
      <w:r w:rsidRPr="00660C1D">
        <w:rPr>
          <w:b/>
        </w:rPr>
        <w:t>Services</w:t>
      </w:r>
      <w:r w:rsidR="00E07E00">
        <w:t xml:space="preserve"> tab at the top of screen or click</w:t>
      </w:r>
      <w:r>
        <w:t xml:space="preserve"> </w:t>
      </w:r>
      <w:r w:rsidRPr="00660C1D">
        <w:rPr>
          <w:b/>
        </w:rPr>
        <w:t>Next</w:t>
      </w:r>
      <w:r>
        <w:t xml:space="preserve"> at the bottom</w:t>
      </w:r>
      <w:r w:rsidR="004D019A">
        <w:t xml:space="preserve"> of the screen</w:t>
      </w:r>
      <w:r>
        <w:t>.</w:t>
      </w:r>
    </w:p>
    <w:p w14:paraId="03B1B125" w14:textId="77777777" w:rsidR="005D5443" w:rsidRDefault="005D5443" w:rsidP="00A87704">
      <w:r>
        <w:rPr>
          <w:noProof/>
        </w:rPr>
        <w:lastRenderedPageBreak/>
        <w:drawing>
          <wp:inline distT="0" distB="0" distL="0" distR="0" wp14:anchorId="2036C39B" wp14:editId="6FFAD245">
            <wp:extent cx="5943600" cy="35706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s.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3570605"/>
                    </a:xfrm>
                    <a:prstGeom prst="rect">
                      <a:avLst/>
                    </a:prstGeom>
                  </pic:spPr>
                </pic:pic>
              </a:graphicData>
            </a:graphic>
          </wp:inline>
        </w:drawing>
      </w:r>
    </w:p>
    <w:p w14:paraId="52E5780F" w14:textId="77777777" w:rsidR="005D5443" w:rsidRDefault="005D5443" w:rsidP="00A87704">
      <w:r>
        <w:t xml:space="preserve">Required fields are marked with a red asterisk. Enter the </w:t>
      </w:r>
      <w:r w:rsidR="00660C1D">
        <w:t>d</w:t>
      </w:r>
      <w:r w:rsidRPr="00660C1D">
        <w:t>ate</w:t>
      </w:r>
      <w:r w:rsidR="004D019A">
        <w:t xml:space="preserve"> of the service, number of</w:t>
      </w:r>
      <w:r>
        <w:t xml:space="preserve"> </w:t>
      </w:r>
      <w:r w:rsidR="00660C1D">
        <w:t>h</w:t>
      </w:r>
      <w:r w:rsidRPr="00660C1D">
        <w:t>ours</w:t>
      </w:r>
      <w:r w:rsidR="004D019A">
        <w:t xml:space="preserve"> billed</w:t>
      </w:r>
      <w:r>
        <w:t xml:space="preserve"> and the </w:t>
      </w:r>
      <w:r w:rsidR="00660C1D">
        <w:t>r</w:t>
      </w:r>
      <w:r w:rsidRPr="00660C1D">
        <w:t>ate</w:t>
      </w:r>
      <w:r w:rsidR="00660C1D">
        <w:t>. A d</w:t>
      </w:r>
      <w:r>
        <w:t xml:space="preserve">escription of the service provided is required. Click </w:t>
      </w:r>
      <w:r w:rsidRPr="00660C1D">
        <w:rPr>
          <w:b/>
        </w:rPr>
        <w:t>Add</w:t>
      </w:r>
      <w:r>
        <w:t xml:space="preserve">. </w:t>
      </w:r>
    </w:p>
    <w:p w14:paraId="483BCA50" w14:textId="4CE5C4B6" w:rsidR="005D5443" w:rsidRDefault="00FE63B4" w:rsidP="00A87704">
      <w:r>
        <w:rPr>
          <w:noProof/>
        </w:rPr>
        <w:drawing>
          <wp:anchor distT="0" distB="0" distL="114300" distR="114300" simplePos="0" relativeHeight="251658240" behindDoc="0" locked="0" layoutInCell="1" allowOverlap="1" wp14:anchorId="0EBD25F3" wp14:editId="1D5082C3">
            <wp:simplePos x="0" y="0"/>
            <wp:positionH relativeFrom="column">
              <wp:posOffset>109220</wp:posOffset>
            </wp:positionH>
            <wp:positionV relativeFrom="paragraph">
              <wp:posOffset>853440</wp:posOffset>
            </wp:positionV>
            <wp:extent cx="3342640" cy="243903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342640" cy="2439035"/>
                    </a:xfrm>
                    <a:prstGeom prst="rect">
                      <a:avLst/>
                    </a:prstGeom>
                  </pic:spPr>
                </pic:pic>
              </a:graphicData>
            </a:graphic>
            <wp14:sizeRelH relativeFrom="page">
              <wp14:pctWidth>0</wp14:pctWidth>
            </wp14:sizeRelH>
            <wp14:sizeRelV relativeFrom="page">
              <wp14:pctHeight>0</wp14:pctHeight>
            </wp14:sizeRelV>
          </wp:anchor>
        </w:drawing>
      </w:r>
      <w:r w:rsidR="005D5443">
        <w:t xml:space="preserve">You may continue to add additional entries until you have entered all of your service dates. There is no autosave feature in eVoucher – make sure to click </w:t>
      </w:r>
      <w:r w:rsidR="0060310B" w:rsidRPr="003662C0">
        <w:rPr>
          <w:b/>
        </w:rPr>
        <w:t>Save</w:t>
      </w:r>
      <w:r w:rsidR="0060310B">
        <w:t xml:space="preserve"> after every few additions</w:t>
      </w:r>
      <w:r w:rsidR="005D5443">
        <w:t>.</w:t>
      </w:r>
      <w:r w:rsidR="00CE6AC9">
        <w:t xml:space="preserve"> </w:t>
      </w:r>
      <w:r>
        <w:t xml:space="preserve">You will be prompted to save if you try to navigate to another area within eVoucher. </w:t>
      </w:r>
    </w:p>
    <w:p w14:paraId="5588C1A3" w14:textId="77777777" w:rsidR="00FE63B4" w:rsidRDefault="00FE63B4" w:rsidP="00A87704"/>
    <w:p w14:paraId="34B52485" w14:textId="77777777" w:rsidR="00FE63B4" w:rsidRDefault="00FE63B4" w:rsidP="00A87704"/>
    <w:p w14:paraId="2446C634" w14:textId="77777777" w:rsidR="00FE63B4" w:rsidRDefault="00FE63B4" w:rsidP="00A87704"/>
    <w:p w14:paraId="38CD4A5C" w14:textId="77777777" w:rsidR="005D5443" w:rsidRDefault="005D5443" w:rsidP="00A87704">
      <w:r>
        <w:lastRenderedPageBreak/>
        <w:t xml:space="preserve">To enter charges for any additional expenses, click the </w:t>
      </w:r>
      <w:r w:rsidRPr="003662C0">
        <w:rPr>
          <w:b/>
        </w:rPr>
        <w:t>Expenses</w:t>
      </w:r>
      <w:r>
        <w:t xml:space="preserve"> tab at the top of the screen or click </w:t>
      </w:r>
      <w:r w:rsidRPr="003662C0">
        <w:rPr>
          <w:b/>
        </w:rPr>
        <w:t>Next</w:t>
      </w:r>
      <w:r>
        <w:t xml:space="preserve"> </w:t>
      </w:r>
      <w:r w:rsidR="004D019A">
        <w:t>at</w:t>
      </w:r>
      <w:r>
        <w:t xml:space="preserve"> the bottom of the screen.</w:t>
      </w:r>
    </w:p>
    <w:p w14:paraId="36AA8975" w14:textId="77777777" w:rsidR="00BA0EF4" w:rsidRDefault="00BA0EF4" w:rsidP="00A87704">
      <w:r>
        <w:rPr>
          <w:noProof/>
        </w:rPr>
        <w:drawing>
          <wp:inline distT="0" distB="0" distL="0" distR="0" wp14:anchorId="04618D6B" wp14:editId="775A6890">
            <wp:extent cx="5943600" cy="361251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3612515"/>
                    </a:xfrm>
                    <a:prstGeom prst="rect">
                      <a:avLst/>
                    </a:prstGeom>
                  </pic:spPr>
                </pic:pic>
              </a:graphicData>
            </a:graphic>
          </wp:inline>
        </w:drawing>
      </w:r>
    </w:p>
    <w:p w14:paraId="476825C5" w14:textId="77777777" w:rsidR="00CE6AC9" w:rsidRDefault="00CE6AC9" w:rsidP="00A87704">
      <w:r>
        <w:t xml:space="preserve">Enter expenses and click </w:t>
      </w:r>
      <w:r w:rsidRPr="003662C0">
        <w:rPr>
          <w:b/>
        </w:rPr>
        <w:t>Add</w:t>
      </w:r>
      <w:r>
        <w:t xml:space="preserve">. </w:t>
      </w:r>
      <w:r w:rsidR="003662C0">
        <w:t>Be</w:t>
      </w:r>
      <w:r>
        <w:t xml:space="preserve"> sure to </w:t>
      </w:r>
      <w:r w:rsidR="003662C0">
        <w:t>save</w:t>
      </w:r>
      <w:r>
        <w:t xml:space="preserve"> your items.</w:t>
      </w:r>
    </w:p>
    <w:p w14:paraId="017DCF5C" w14:textId="77777777" w:rsidR="00BA0EF4" w:rsidRDefault="00BA0EF4" w:rsidP="00A87704">
      <w:r>
        <w:rPr>
          <w:noProof/>
        </w:rPr>
        <w:drawing>
          <wp:inline distT="0" distB="0" distL="0" distR="0" wp14:anchorId="5F293FC3" wp14:editId="4C8017FF">
            <wp:extent cx="5943600" cy="26022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 status.jpg"/>
                    <pic:cNvPicPr/>
                  </pic:nvPicPr>
                  <pic:blipFill>
                    <a:blip r:embed="rId23">
                      <a:extLst>
                        <a:ext uri="{28A0092B-C50C-407E-A947-70E740481C1C}">
                          <a14:useLocalDpi xmlns:a14="http://schemas.microsoft.com/office/drawing/2010/main" val="0"/>
                        </a:ext>
                      </a:extLst>
                    </a:blip>
                    <a:stretch>
                      <a:fillRect/>
                    </a:stretch>
                  </pic:blipFill>
                  <pic:spPr>
                    <a:xfrm>
                      <a:off x="0" y="0"/>
                      <a:ext cx="5943600" cy="2602230"/>
                    </a:xfrm>
                    <a:prstGeom prst="rect">
                      <a:avLst/>
                    </a:prstGeom>
                  </pic:spPr>
                </pic:pic>
              </a:graphicData>
            </a:graphic>
          </wp:inline>
        </w:drawing>
      </w:r>
    </w:p>
    <w:p w14:paraId="5288B943" w14:textId="77777777" w:rsidR="00CE6AC9" w:rsidRDefault="00CE6AC9" w:rsidP="00CE6AC9">
      <w:r>
        <w:t xml:space="preserve">The </w:t>
      </w:r>
      <w:r w:rsidRPr="003662C0">
        <w:rPr>
          <w:b/>
        </w:rPr>
        <w:t>Claim Status</w:t>
      </w:r>
      <w:r>
        <w:t xml:space="preserve"> tab will include the date range of your services. The dates default to the day of the creation of the voucher. Ensure that the date range covers the days for which you are billing services and expenses.</w:t>
      </w:r>
    </w:p>
    <w:p w14:paraId="62382C0F" w14:textId="77777777" w:rsidR="00CE6AC9" w:rsidRDefault="00E07E00" w:rsidP="00CE6AC9">
      <w:r>
        <w:t xml:space="preserve">Under </w:t>
      </w:r>
      <w:r w:rsidRPr="00E07E00">
        <w:rPr>
          <w:b/>
        </w:rPr>
        <w:t>Payment Claims</w:t>
      </w:r>
      <w:r>
        <w:t>, m</w:t>
      </w:r>
      <w:r w:rsidR="00CE6AC9">
        <w:t xml:space="preserve">ake a payment selection. Final payment indicates you will not be billing more on this particular appointment. Interim payments must be OK’d by the court but may be applicable for </w:t>
      </w:r>
      <w:r w:rsidR="00CE6AC9">
        <w:lastRenderedPageBreak/>
        <w:t xml:space="preserve">those involved in long cases. Supplemental payments cover forgotten charges discovered after final payment has been requested. </w:t>
      </w:r>
    </w:p>
    <w:p w14:paraId="1FFF3642" w14:textId="77777777" w:rsidR="00CE6AC9" w:rsidRDefault="00CE6AC9" w:rsidP="00A87704">
      <w:r>
        <w:t xml:space="preserve">Navigate to the </w:t>
      </w:r>
      <w:r w:rsidRPr="003662C0">
        <w:rPr>
          <w:b/>
        </w:rPr>
        <w:t>Documents</w:t>
      </w:r>
      <w:r>
        <w:t xml:space="preserve"> tab and attach any receipts, invoices, or documents as PDF documents. </w:t>
      </w:r>
      <w:r w:rsidR="00235BF0">
        <w:t xml:space="preserve">Label and </w:t>
      </w:r>
      <w:r w:rsidR="003662C0">
        <w:t>describe the attachment in the d</w:t>
      </w:r>
      <w:r w:rsidR="00235BF0">
        <w:t xml:space="preserve">escription field and click </w:t>
      </w:r>
      <w:r w:rsidR="00235BF0" w:rsidRPr="003662C0">
        <w:rPr>
          <w:b/>
        </w:rPr>
        <w:t>Upload</w:t>
      </w:r>
      <w:r w:rsidR="00235BF0">
        <w:t xml:space="preserve"> to attach the PDF documents. </w:t>
      </w:r>
    </w:p>
    <w:p w14:paraId="1CD150A7" w14:textId="77777777" w:rsidR="00BA0EF4" w:rsidRDefault="00BA0EF4" w:rsidP="00A87704">
      <w:r>
        <w:rPr>
          <w:noProof/>
        </w:rPr>
        <w:drawing>
          <wp:inline distT="0" distB="0" distL="0" distR="0" wp14:anchorId="69256AA6" wp14:editId="5B795A6A">
            <wp:extent cx="5943600" cy="24974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2497455"/>
                    </a:xfrm>
                    <a:prstGeom prst="rect">
                      <a:avLst/>
                    </a:prstGeom>
                  </pic:spPr>
                </pic:pic>
              </a:graphicData>
            </a:graphic>
          </wp:inline>
        </w:drawing>
      </w:r>
    </w:p>
    <w:p w14:paraId="250FE5DF" w14:textId="77777777" w:rsidR="00193AE0" w:rsidRDefault="00FB5E25" w:rsidP="00A87704">
      <w:r>
        <w:t xml:space="preserve">When you have entered all expenses and documents and are ready to submit the voucher, advance to the </w:t>
      </w:r>
      <w:r w:rsidRPr="003662C0">
        <w:rPr>
          <w:b/>
        </w:rPr>
        <w:t>Confirmation</w:t>
      </w:r>
      <w:r>
        <w:t xml:space="preserve"> tab. You will be able to review the summary of the voucher and can add any notes which will be available for the attorney and the court staff auditing the voucher. </w:t>
      </w:r>
    </w:p>
    <w:p w14:paraId="6DF24F43" w14:textId="77777777" w:rsidR="00193AE0" w:rsidRDefault="00193AE0" w:rsidP="00A87704">
      <w:r>
        <w:rPr>
          <w:noProof/>
        </w:rPr>
        <w:drawing>
          <wp:inline distT="0" distB="0" distL="0" distR="0" wp14:anchorId="598E74DD" wp14:editId="492632C1">
            <wp:extent cx="5943600" cy="18783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rm.jpg"/>
                    <pic:cNvPicPr/>
                  </pic:nvPicPr>
                  <pic:blipFill>
                    <a:blip r:embed="rId25">
                      <a:extLst>
                        <a:ext uri="{28A0092B-C50C-407E-A947-70E740481C1C}">
                          <a14:useLocalDpi xmlns:a14="http://schemas.microsoft.com/office/drawing/2010/main" val="0"/>
                        </a:ext>
                      </a:extLst>
                    </a:blip>
                    <a:stretch>
                      <a:fillRect/>
                    </a:stretch>
                  </pic:blipFill>
                  <pic:spPr>
                    <a:xfrm>
                      <a:off x="0" y="0"/>
                      <a:ext cx="5943600" cy="1878330"/>
                    </a:xfrm>
                    <a:prstGeom prst="rect">
                      <a:avLst/>
                    </a:prstGeom>
                  </pic:spPr>
                </pic:pic>
              </a:graphicData>
            </a:graphic>
          </wp:inline>
        </w:drawing>
      </w:r>
    </w:p>
    <w:p w14:paraId="03D7A079" w14:textId="1E3317DC" w:rsidR="000D2B9B" w:rsidRDefault="00FB5E25" w:rsidP="00A87704">
      <w:r>
        <w:t xml:space="preserve">To submit the voucher, select the </w:t>
      </w:r>
      <w:r w:rsidR="003662C0" w:rsidRPr="003662C0">
        <w:rPr>
          <w:b/>
        </w:rPr>
        <w:t>“I swear and affirm…”</w:t>
      </w:r>
      <w:r w:rsidR="003662C0">
        <w:t xml:space="preserve"> </w:t>
      </w:r>
      <w:r>
        <w:t>check</w:t>
      </w:r>
      <w:r w:rsidR="00376B01">
        <w:t xml:space="preserve"> </w:t>
      </w:r>
      <w:r>
        <w:t>box</w:t>
      </w:r>
      <w:r w:rsidR="003662C0">
        <w:t>.</w:t>
      </w:r>
      <w:r>
        <w:t xml:space="preserve"> </w:t>
      </w:r>
      <w:r w:rsidR="003662C0">
        <w:t xml:space="preserve">This action will also </w:t>
      </w:r>
      <w:r>
        <w:t xml:space="preserve">date and time stamp the submission. The </w:t>
      </w:r>
      <w:r w:rsidRPr="003662C0">
        <w:rPr>
          <w:b/>
        </w:rPr>
        <w:t>Submit</w:t>
      </w:r>
      <w:r>
        <w:t xml:space="preserve"> button will become active. Click </w:t>
      </w:r>
      <w:r w:rsidRPr="003662C0">
        <w:rPr>
          <w:b/>
        </w:rPr>
        <w:t>Submit</w:t>
      </w:r>
      <w:r>
        <w:t xml:space="preserve"> to </w:t>
      </w:r>
      <w:r w:rsidR="000F2CFE">
        <w:t>move the voucher forward to the attorney who must review your voucher before submitting it to the court.</w:t>
      </w:r>
    </w:p>
    <w:p w14:paraId="0234016D" w14:textId="77777777" w:rsidR="00193AE0" w:rsidRDefault="00193AE0" w:rsidP="00193AE0">
      <w:pPr>
        <w:pStyle w:val="Heading1"/>
      </w:pPr>
      <w:r>
        <w:lastRenderedPageBreak/>
        <w:t>Returned Vouchers</w:t>
      </w:r>
    </w:p>
    <w:p w14:paraId="2027604E" w14:textId="77777777" w:rsidR="00193AE0" w:rsidRDefault="00193AE0" w:rsidP="00193AE0">
      <w:r>
        <w:rPr>
          <w:noProof/>
        </w:rPr>
        <w:drawing>
          <wp:inline distT="0" distB="0" distL="0" distR="0" wp14:anchorId="5975E23D" wp14:editId="1A752CFB">
            <wp:extent cx="5943600" cy="14217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urned.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1421765"/>
                    </a:xfrm>
                    <a:prstGeom prst="rect">
                      <a:avLst/>
                    </a:prstGeom>
                  </pic:spPr>
                </pic:pic>
              </a:graphicData>
            </a:graphic>
          </wp:inline>
        </w:drawing>
      </w:r>
    </w:p>
    <w:p w14:paraId="21A66289" w14:textId="77777777" w:rsidR="00DD4073" w:rsidRDefault="00193AE0" w:rsidP="00DD62DF">
      <w:r>
        <w:t>Should there b</w:t>
      </w:r>
      <w:r w:rsidR="003662C0">
        <w:t xml:space="preserve">e any issue with your voucher, </w:t>
      </w:r>
      <w:r>
        <w:t xml:space="preserve">the attorney may return the voucher to you for correction or additional documentation. Any voucher returned to you will appear with a gold-yellow background. Often the return of the voucher will be accompanied by an email explaining the circumstances. Additionally, you can examine the </w:t>
      </w:r>
      <w:r w:rsidR="00E07E00">
        <w:t>a</w:t>
      </w:r>
      <w:r w:rsidRPr="002D4E4C">
        <w:t>ttorney</w:t>
      </w:r>
      <w:r>
        <w:t xml:space="preserve"> notes on the </w:t>
      </w:r>
      <w:r w:rsidRPr="003662C0">
        <w:rPr>
          <w:b/>
        </w:rPr>
        <w:t>Confirmation</w:t>
      </w:r>
      <w:r>
        <w:t xml:space="preserve"> page to find additional direction.</w:t>
      </w:r>
    </w:p>
    <w:p w14:paraId="071EF638" w14:textId="77777777" w:rsidR="00A87704" w:rsidRDefault="00A87704" w:rsidP="00A87704">
      <w:pPr>
        <w:pStyle w:val="Heading1"/>
      </w:pPr>
      <w:r>
        <w:t>Printing a Form CJA21</w:t>
      </w:r>
    </w:p>
    <w:p w14:paraId="49D86AA8" w14:textId="751F689C" w:rsidR="00DD62DF" w:rsidRDefault="00DD62DF" w:rsidP="00DD62DF">
      <w:r>
        <w:t xml:space="preserve">Should you wish to print a copy of your submission, </w:t>
      </w:r>
      <w:r w:rsidR="002D4E4C">
        <w:t xml:space="preserve">from </w:t>
      </w:r>
      <w:r>
        <w:t>the left-hand panel</w:t>
      </w:r>
      <w:r w:rsidR="00376B01">
        <w:t>,</w:t>
      </w:r>
      <w:r>
        <w:t xml:space="preserve"> </w:t>
      </w:r>
      <w:r w:rsidR="002D4E4C">
        <w:t>click the</w:t>
      </w:r>
      <w:r>
        <w:t xml:space="preserve"> </w:t>
      </w:r>
      <w:r w:rsidRPr="003662C0">
        <w:rPr>
          <w:b/>
        </w:rPr>
        <w:t>Form CJA21</w:t>
      </w:r>
      <w:r>
        <w:t xml:space="preserve"> link to print a standard version of the voucher. </w:t>
      </w:r>
    </w:p>
    <w:p w14:paraId="0E807E3C" w14:textId="77777777" w:rsidR="00DD62DF" w:rsidRDefault="00DD62DF" w:rsidP="00DD62DF">
      <w:r>
        <w:rPr>
          <w:noProof/>
        </w:rPr>
        <w:drawing>
          <wp:inline distT="0" distB="0" distL="0" distR="0" wp14:anchorId="1C4B6577" wp14:editId="13803643">
            <wp:extent cx="1876425" cy="714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form.jpg"/>
                    <pic:cNvPicPr/>
                  </pic:nvPicPr>
                  <pic:blipFill>
                    <a:blip r:embed="rId27">
                      <a:extLst>
                        <a:ext uri="{28A0092B-C50C-407E-A947-70E740481C1C}">
                          <a14:useLocalDpi xmlns:a14="http://schemas.microsoft.com/office/drawing/2010/main" val="0"/>
                        </a:ext>
                      </a:extLst>
                    </a:blip>
                    <a:stretch>
                      <a:fillRect/>
                    </a:stretch>
                  </pic:blipFill>
                  <pic:spPr>
                    <a:xfrm>
                      <a:off x="0" y="0"/>
                      <a:ext cx="1876425" cy="714375"/>
                    </a:xfrm>
                    <a:prstGeom prst="rect">
                      <a:avLst/>
                    </a:prstGeom>
                  </pic:spPr>
                </pic:pic>
              </a:graphicData>
            </a:graphic>
          </wp:inline>
        </w:drawing>
      </w:r>
    </w:p>
    <w:p w14:paraId="7277770C" w14:textId="77777777" w:rsidR="00DD62DF" w:rsidRPr="00DD62DF" w:rsidRDefault="005677A3" w:rsidP="00DD62DF">
      <w:r>
        <w:t>Any reports the expert may have access to will be displayed in t</w:t>
      </w:r>
      <w:r w:rsidR="00DD62DF">
        <w:t xml:space="preserve">he </w:t>
      </w:r>
      <w:r w:rsidR="00DD62DF" w:rsidRPr="003662C0">
        <w:rPr>
          <w:b/>
        </w:rPr>
        <w:t>Reports</w:t>
      </w:r>
      <w:r w:rsidR="00DD62DF">
        <w:t xml:space="preserve"> section. Click on the </w:t>
      </w:r>
      <w:r w:rsidR="00DD62DF" w:rsidRPr="003662C0">
        <w:rPr>
          <w:b/>
        </w:rPr>
        <w:t>Reports</w:t>
      </w:r>
      <w:r w:rsidR="00DD62DF">
        <w:t xml:space="preserve"> menu item to see which reports are accessible.</w:t>
      </w:r>
    </w:p>
    <w:p w14:paraId="6C1EEA7D" w14:textId="77777777" w:rsidR="00A87704" w:rsidRPr="00A87704" w:rsidRDefault="006C5D4B" w:rsidP="00A87704">
      <w:r>
        <w:rPr>
          <w:noProof/>
        </w:rPr>
        <w:drawing>
          <wp:inline distT="0" distB="0" distL="0" distR="0" wp14:anchorId="38AE6C60" wp14:editId="16807605">
            <wp:extent cx="3923809" cy="1361905"/>
            <wp:effectExtent l="0" t="0" r="635"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23809" cy="1361905"/>
                    </a:xfrm>
                    <a:prstGeom prst="rect">
                      <a:avLst/>
                    </a:prstGeom>
                  </pic:spPr>
                </pic:pic>
              </a:graphicData>
            </a:graphic>
          </wp:inline>
        </w:drawing>
      </w:r>
    </w:p>
    <w:p w14:paraId="7916A33C" w14:textId="77777777" w:rsidR="00EE2EDF" w:rsidRDefault="00EE2EDF" w:rsidP="00877779"/>
    <w:p w14:paraId="74812F4D" w14:textId="77777777" w:rsidR="00EE2EDF" w:rsidRDefault="00EE2EDF" w:rsidP="00877779"/>
    <w:p w14:paraId="1B009C94" w14:textId="77777777" w:rsidR="00EE2EDF" w:rsidRPr="00877779" w:rsidRDefault="00EE2EDF" w:rsidP="00877779"/>
    <w:sectPr w:rsidR="00EE2EDF" w:rsidRPr="00877779" w:rsidSect="00DF2CC1">
      <w:headerReference w:type="default" r:id="rId29"/>
      <w:footerReference w:type="default" r:id="rId30"/>
      <w:pgSz w:w="12240" w:h="15840"/>
      <w:pgMar w:top="720" w:right="1440" w:bottom="36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4B0F1" w14:textId="77777777" w:rsidR="00A473C1" w:rsidRDefault="00A473C1" w:rsidP="008D4F84">
      <w:r>
        <w:separator/>
      </w:r>
    </w:p>
  </w:endnote>
  <w:endnote w:type="continuationSeparator" w:id="0">
    <w:p w14:paraId="0230D4F0" w14:textId="77777777" w:rsidR="00A473C1" w:rsidRDefault="00A473C1" w:rsidP="008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D729" w14:textId="77777777" w:rsidR="0009127D" w:rsidRDefault="0009127D" w:rsidP="008D4F84">
    <w:pPr>
      <w:pStyle w:val="Footer"/>
    </w:pPr>
  </w:p>
  <w:p w14:paraId="51ABF983" w14:textId="25E0F031" w:rsidR="0009127D" w:rsidRPr="00DF2CC1" w:rsidRDefault="0009127D" w:rsidP="008D4F84">
    <w:pPr>
      <w:pStyle w:val="Footer"/>
    </w:pPr>
    <w:r>
      <w:t>CJA eVoucher</w:t>
    </w:r>
    <w:r w:rsidRPr="00DF2CC1">
      <w:t xml:space="preserve"> | Version </w:t>
    </w:r>
    <w:r w:rsidR="00F027E6">
      <w:t>4.</w:t>
    </w:r>
    <w:r w:rsidR="00FE4AF4">
      <w:t>3</w:t>
    </w:r>
    <w:r>
      <w:t xml:space="preserve"> | AO-OIT-SDSO-Training Division</w:t>
    </w:r>
    <w:r w:rsidRPr="00DF2CC1">
      <w:t xml:space="preserve"> | </w:t>
    </w:r>
    <w:r w:rsidR="00FE4AF4">
      <w:t>November</w:t>
    </w:r>
    <w:r w:rsidR="00F027E6">
      <w:t xml:space="preserve"> 2015</w:t>
    </w:r>
  </w:p>
  <w:p w14:paraId="4D900A94" w14:textId="77777777" w:rsidR="0009127D" w:rsidRDefault="0009127D" w:rsidP="008D4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D4A55" w14:textId="77777777" w:rsidR="00A473C1" w:rsidRDefault="00A473C1" w:rsidP="008D4F84">
      <w:r>
        <w:separator/>
      </w:r>
    </w:p>
  </w:footnote>
  <w:footnote w:type="continuationSeparator" w:id="0">
    <w:p w14:paraId="030F5E13" w14:textId="77777777" w:rsidR="00A473C1" w:rsidRDefault="00A473C1" w:rsidP="008D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86" w:type="pct"/>
      <w:tblInd w:w="108" w:type="dxa"/>
      <w:tblBorders>
        <w:bottom w:val="single" w:sz="6" w:space="0" w:color="A6A6A6" w:themeColor="background1" w:themeShade="A6"/>
        <w:insideH w:val="single" w:sz="4" w:space="0" w:color="auto"/>
        <w:insideV w:val="single" w:sz="4" w:space="0" w:color="auto"/>
      </w:tblBorders>
      <w:tblLook w:val="01E0" w:firstRow="1" w:lastRow="1" w:firstColumn="1" w:lastColumn="1" w:noHBand="0" w:noVBand="0"/>
    </w:tblPr>
    <w:tblGrid>
      <w:gridCol w:w="8622"/>
      <w:gridCol w:w="525"/>
    </w:tblGrid>
    <w:tr w:rsidR="0009127D" w14:paraId="5351F77E" w14:textId="77777777" w:rsidTr="00D646A1">
      <w:trPr>
        <w:trHeight w:val="405"/>
      </w:trPr>
      <w:sdt>
        <w:sdtPr>
          <w:alias w:val="Header Document Title"/>
          <w:tag w:val="Header Document Title"/>
          <w:id w:val="1625196432"/>
        </w:sdtPr>
        <w:sdtEndPr/>
        <w:sdtContent>
          <w:tc>
            <w:tcPr>
              <w:tcW w:w="4713" w:type="pct"/>
            </w:tcPr>
            <w:p w14:paraId="78565DEE" w14:textId="77777777" w:rsidR="0009127D" w:rsidRPr="00F51CEC" w:rsidRDefault="0009127D" w:rsidP="00F75820">
              <w:pPr>
                <w:pStyle w:val="Header"/>
                <w:tabs>
                  <w:tab w:val="left" w:pos="8094"/>
                </w:tabs>
                <w:jc w:val="right"/>
              </w:pPr>
              <w:r>
                <w:t>Service Provider Expert Manual</w:t>
              </w:r>
            </w:p>
          </w:tc>
        </w:sdtContent>
      </w:sdt>
      <w:tc>
        <w:tcPr>
          <w:tcW w:w="287" w:type="pct"/>
        </w:tcPr>
        <w:p w14:paraId="245E5E3C" w14:textId="77777777" w:rsidR="0009127D" w:rsidRPr="00F51CEC" w:rsidRDefault="0009127D" w:rsidP="008D4F84">
          <w:pPr>
            <w:pStyle w:val="Header"/>
            <w:rPr>
              <w:bCs/>
            </w:rPr>
          </w:pPr>
          <w:r w:rsidRPr="00F51CEC">
            <w:fldChar w:fldCharType="begin"/>
          </w:r>
          <w:r w:rsidRPr="00F51CEC">
            <w:instrText xml:space="preserve"> PAGE   \* MERGEFORMAT </w:instrText>
          </w:r>
          <w:r w:rsidRPr="00F51CEC">
            <w:fldChar w:fldCharType="separate"/>
          </w:r>
          <w:r w:rsidR="00003471">
            <w:rPr>
              <w:noProof/>
            </w:rPr>
            <w:t>2</w:t>
          </w:r>
          <w:r w:rsidRPr="00F51CEC">
            <w:rPr>
              <w:noProof/>
            </w:rPr>
            <w:fldChar w:fldCharType="end"/>
          </w:r>
        </w:p>
      </w:tc>
    </w:tr>
  </w:tbl>
  <w:p w14:paraId="0A90727F" w14:textId="77777777" w:rsidR="0009127D" w:rsidRDefault="0009127D" w:rsidP="008D4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8CE"/>
    <w:multiLevelType w:val="hybridMultilevel"/>
    <w:tmpl w:val="3EF6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61D5"/>
    <w:multiLevelType w:val="hybridMultilevel"/>
    <w:tmpl w:val="069E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731EB"/>
    <w:multiLevelType w:val="hybridMultilevel"/>
    <w:tmpl w:val="8FFA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7A49"/>
    <w:multiLevelType w:val="hybridMultilevel"/>
    <w:tmpl w:val="36F24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65F7"/>
    <w:multiLevelType w:val="hybridMultilevel"/>
    <w:tmpl w:val="1B806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9B32C5"/>
    <w:multiLevelType w:val="hybridMultilevel"/>
    <w:tmpl w:val="C69257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2A4420"/>
    <w:multiLevelType w:val="hybridMultilevel"/>
    <w:tmpl w:val="90D8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33B75"/>
    <w:multiLevelType w:val="hybridMultilevel"/>
    <w:tmpl w:val="6070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97338"/>
    <w:multiLevelType w:val="hybridMultilevel"/>
    <w:tmpl w:val="DF04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B7A8E"/>
    <w:multiLevelType w:val="hybridMultilevel"/>
    <w:tmpl w:val="18E8B9E4"/>
    <w:lvl w:ilvl="0" w:tplc="007C02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B200A3"/>
    <w:multiLevelType w:val="hybridMultilevel"/>
    <w:tmpl w:val="26BE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74B3A"/>
    <w:multiLevelType w:val="hybridMultilevel"/>
    <w:tmpl w:val="78827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46D39"/>
    <w:multiLevelType w:val="hybridMultilevel"/>
    <w:tmpl w:val="EACAC462"/>
    <w:lvl w:ilvl="0" w:tplc="EAE27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13DEB"/>
    <w:multiLevelType w:val="hybridMultilevel"/>
    <w:tmpl w:val="73D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51AF8"/>
    <w:multiLevelType w:val="hybridMultilevel"/>
    <w:tmpl w:val="80CC9504"/>
    <w:lvl w:ilvl="0" w:tplc="EAE27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E61E4"/>
    <w:multiLevelType w:val="hybridMultilevel"/>
    <w:tmpl w:val="4DEE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95E28"/>
    <w:multiLevelType w:val="hybridMultilevel"/>
    <w:tmpl w:val="DFF0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9053B"/>
    <w:multiLevelType w:val="hybridMultilevel"/>
    <w:tmpl w:val="9044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960B2"/>
    <w:multiLevelType w:val="hybridMultilevel"/>
    <w:tmpl w:val="CDF6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C3B76"/>
    <w:multiLevelType w:val="hybridMultilevel"/>
    <w:tmpl w:val="BA22200C"/>
    <w:lvl w:ilvl="0" w:tplc="EAE27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1"/>
  </w:num>
  <w:num w:numId="5">
    <w:abstractNumId w:val="16"/>
  </w:num>
  <w:num w:numId="6">
    <w:abstractNumId w:val="17"/>
  </w:num>
  <w:num w:numId="7">
    <w:abstractNumId w:val="6"/>
  </w:num>
  <w:num w:numId="8">
    <w:abstractNumId w:val="10"/>
  </w:num>
  <w:num w:numId="9">
    <w:abstractNumId w:val="7"/>
  </w:num>
  <w:num w:numId="10">
    <w:abstractNumId w:val="12"/>
  </w:num>
  <w:num w:numId="11">
    <w:abstractNumId w:val="14"/>
  </w:num>
  <w:num w:numId="12">
    <w:abstractNumId w:val="19"/>
  </w:num>
  <w:num w:numId="13">
    <w:abstractNumId w:val="1"/>
  </w:num>
  <w:num w:numId="14">
    <w:abstractNumId w:val="8"/>
  </w:num>
  <w:num w:numId="15">
    <w:abstractNumId w:val="4"/>
  </w:num>
  <w:num w:numId="16">
    <w:abstractNumId w:val="15"/>
  </w:num>
  <w:num w:numId="17">
    <w:abstractNumId w:val="2"/>
  </w:num>
  <w:num w:numId="18">
    <w:abstractNumId w:val="13"/>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20"/>
    <w:rsid w:val="00003471"/>
    <w:rsid w:val="00013FFB"/>
    <w:rsid w:val="00023A97"/>
    <w:rsid w:val="00044E05"/>
    <w:rsid w:val="00051C3E"/>
    <w:rsid w:val="00070A07"/>
    <w:rsid w:val="00075B80"/>
    <w:rsid w:val="000814AB"/>
    <w:rsid w:val="00082698"/>
    <w:rsid w:val="0009127D"/>
    <w:rsid w:val="00091646"/>
    <w:rsid w:val="000B57EB"/>
    <w:rsid w:val="000D2B9B"/>
    <w:rsid w:val="000D736E"/>
    <w:rsid w:val="000F2CFE"/>
    <w:rsid w:val="001012DA"/>
    <w:rsid w:val="00113082"/>
    <w:rsid w:val="00124A6A"/>
    <w:rsid w:val="00137CAC"/>
    <w:rsid w:val="001454C5"/>
    <w:rsid w:val="00164C97"/>
    <w:rsid w:val="0017794A"/>
    <w:rsid w:val="00182AD5"/>
    <w:rsid w:val="00190BA7"/>
    <w:rsid w:val="00193AE0"/>
    <w:rsid w:val="001A4578"/>
    <w:rsid w:val="001A5BF4"/>
    <w:rsid w:val="001B1409"/>
    <w:rsid w:val="001C538F"/>
    <w:rsid w:val="001D0112"/>
    <w:rsid w:val="001D2648"/>
    <w:rsid w:val="001E1197"/>
    <w:rsid w:val="001F0755"/>
    <w:rsid w:val="001F780F"/>
    <w:rsid w:val="002315EC"/>
    <w:rsid w:val="00235BF0"/>
    <w:rsid w:val="00236717"/>
    <w:rsid w:val="00240272"/>
    <w:rsid w:val="0025248A"/>
    <w:rsid w:val="002558E4"/>
    <w:rsid w:val="00264004"/>
    <w:rsid w:val="00264F43"/>
    <w:rsid w:val="002662C3"/>
    <w:rsid w:val="002910FC"/>
    <w:rsid w:val="00292116"/>
    <w:rsid w:val="002B4119"/>
    <w:rsid w:val="002B637F"/>
    <w:rsid w:val="002B7EE1"/>
    <w:rsid w:val="002C2E4A"/>
    <w:rsid w:val="002C6804"/>
    <w:rsid w:val="002C76E5"/>
    <w:rsid w:val="002D4E4C"/>
    <w:rsid w:val="002E21F6"/>
    <w:rsid w:val="002F2104"/>
    <w:rsid w:val="00302083"/>
    <w:rsid w:val="0031360B"/>
    <w:rsid w:val="00313D1C"/>
    <w:rsid w:val="00324197"/>
    <w:rsid w:val="00332CD2"/>
    <w:rsid w:val="003414D8"/>
    <w:rsid w:val="00360DAE"/>
    <w:rsid w:val="003614C7"/>
    <w:rsid w:val="003662C0"/>
    <w:rsid w:val="00376080"/>
    <w:rsid w:val="00376B01"/>
    <w:rsid w:val="00386FA2"/>
    <w:rsid w:val="00391502"/>
    <w:rsid w:val="003922AC"/>
    <w:rsid w:val="00393EB3"/>
    <w:rsid w:val="003D25FB"/>
    <w:rsid w:val="003D6D64"/>
    <w:rsid w:val="003F1B84"/>
    <w:rsid w:val="00432E6D"/>
    <w:rsid w:val="0043492B"/>
    <w:rsid w:val="004738C9"/>
    <w:rsid w:val="00474ECB"/>
    <w:rsid w:val="004800A5"/>
    <w:rsid w:val="004A1B2B"/>
    <w:rsid w:val="004A26E4"/>
    <w:rsid w:val="004A36F2"/>
    <w:rsid w:val="004A7632"/>
    <w:rsid w:val="004C49E6"/>
    <w:rsid w:val="004D019A"/>
    <w:rsid w:val="004D2A7E"/>
    <w:rsid w:val="004D4BA3"/>
    <w:rsid w:val="004D6368"/>
    <w:rsid w:val="004E115E"/>
    <w:rsid w:val="00500C54"/>
    <w:rsid w:val="00510E6C"/>
    <w:rsid w:val="005264F1"/>
    <w:rsid w:val="005300DD"/>
    <w:rsid w:val="00537DB1"/>
    <w:rsid w:val="005478D0"/>
    <w:rsid w:val="005546EE"/>
    <w:rsid w:val="00560338"/>
    <w:rsid w:val="00564DEF"/>
    <w:rsid w:val="005677A3"/>
    <w:rsid w:val="00583738"/>
    <w:rsid w:val="005A2232"/>
    <w:rsid w:val="005A4A94"/>
    <w:rsid w:val="005B1C4B"/>
    <w:rsid w:val="005B1FD5"/>
    <w:rsid w:val="005B7B79"/>
    <w:rsid w:val="005D5406"/>
    <w:rsid w:val="005D5443"/>
    <w:rsid w:val="005E168C"/>
    <w:rsid w:val="005E3AE4"/>
    <w:rsid w:val="005E60B0"/>
    <w:rsid w:val="0060310B"/>
    <w:rsid w:val="00611A05"/>
    <w:rsid w:val="006170C9"/>
    <w:rsid w:val="0063527B"/>
    <w:rsid w:val="00660C1D"/>
    <w:rsid w:val="00672789"/>
    <w:rsid w:val="006A7DCE"/>
    <w:rsid w:val="006B16AE"/>
    <w:rsid w:val="006C5D4B"/>
    <w:rsid w:val="006D65E7"/>
    <w:rsid w:val="00711259"/>
    <w:rsid w:val="00721363"/>
    <w:rsid w:val="00790DF7"/>
    <w:rsid w:val="00795902"/>
    <w:rsid w:val="007C5A4D"/>
    <w:rsid w:val="007C6B4B"/>
    <w:rsid w:val="007E340C"/>
    <w:rsid w:val="007E48E6"/>
    <w:rsid w:val="007E7CC1"/>
    <w:rsid w:val="007F269D"/>
    <w:rsid w:val="00800DBF"/>
    <w:rsid w:val="00803A0A"/>
    <w:rsid w:val="00804C74"/>
    <w:rsid w:val="00807049"/>
    <w:rsid w:val="00825497"/>
    <w:rsid w:val="00827358"/>
    <w:rsid w:val="00853D2D"/>
    <w:rsid w:val="00862381"/>
    <w:rsid w:val="0086655B"/>
    <w:rsid w:val="00866AFE"/>
    <w:rsid w:val="00871CBB"/>
    <w:rsid w:val="00877779"/>
    <w:rsid w:val="008A424A"/>
    <w:rsid w:val="008C0002"/>
    <w:rsid w:val="008C0167"/>
    <w:rsid w:val="008D4DA0"/>
    <w:rsid w:val="008D4F84"/>
    <w:rsid w:val="008D72F3"/>
    <w:rsid w:val="008E302A"/>
    <w:rsid w:val="008F3041"/>
    <w:rsid w:val="009213E6"/>
    <w:rsid w:val="0093473B"/>
    <w:rsid w:val="00940422"/>
    <w:rsid w:val="00985AB0"/>
    <w:rsid w:val="009A339F"/>
    <w:rsid w:val="009A3EC1"/>
    <w:rsid w:val="009B4E29"/>
    <w:rsid w:val="009D1D8A"/>
    <w:rsid w:val="009D2FC9"/>
    <w:rsid w:val="009D4DF6"/>
    <w:rsid w:val="009F3F9F"/>
    <w:rsid w:val="009F6231"/>
    <w:rsid w:val="00A25491"/>
    <w:rsid w:val="00A25DA8"/>
    <w:rsid w:val="00A279FD"/>
    <w:rsid w:val="00A473C1"/>
    <w:rsid w:val="00A52E15"/>
    <w:rsid w:val="00A55160"/>
    <w:rsid w:val="00A6503B"/>
    <w:rsid w:val="00A80597"/>
    <w:rsid w:val="00A87704"/>
    <w:rsid w:val="00A95F90"/>
    <w:rsid w:val="00A97405"/>
    <w:rsid w:val="00AA712E"/>
    <w:rsid w:val="00AB1C01"/>
    <w:rsid w:val="00AD3BB2"/>
    <w:rsid w:val="00AE28C7"/>
    <w:rsid w:val="00AE5411"/>
    <w:rsid w:val="00AF1C1A"/>
    <w:rsid w:val="00B12ACA"/>
    <w:rsid w:val="00B27904"/>
    <w:rsid w:val="00B359B4"/>
    <w:rsid w:val="00B613C7"/>
    <w:rsid w:val="00B7067B"/>
    <w:rsid w:val="00B74A8B"/>
    <w:rsid w:val="00B806BD"/>
    <w:rsid w:val="00B840F3"/>
    <w:rsid w:val="00B91DC0"/>
    <w:rsid w:val="00BA0EF4"/>
    <w:rsid w:val="00BD1F1B"/>
    <w:rsid w:val="00BD33B7"/>
    <w:rsid w:val="00BD37F5"/>
    <w:rsid w:val="00C0079E"/>
    <w:rsid w:val="00C02C0A"/>
    <w:rsid w:val="00C14B60"/>
    <w:rsid w:val="00C30814"/>
    <w:rsid w:val="00C423AF"/>
    <w:rsid w:val="00C43F85"/>
    <w:rsid w:val="00C637FF"/>
    <w:rsid w:val="00C63A1C"/>
    <w:rsid w:val="00C64566"/>
    <w:rsid w:val="00C71E74"/>
    <w:rsid w:val="00C77D60"/>
    <w:rsid w:val="00C91D17"/>
    <w:rsid w:val="00C95780"/>
    <w:rsid w:val="00CA19F0"/>
    <w:rsid w:val="00CC1C4D"/>
    <w:rsid w:val="00CE6AC9"/>
    <w:rsid w:val="00D251C3"/>
    <w:rsid w:val="00D35E9B"/>
    <w:rsid w:val="00D368E9"/>
    <w:rsid w:val="00D405B2"/>
    <w:rsid w:val="00D646A1"/>
    <w:rsid w:val="00D75A12"/>
    <w:rsid w:val="00D76C7A"/>
    <w:rsid w:val="00D938FA"/>
    <w:rsid w:val="00DB7393"/>
    <w:rsid w:val="00DD4073"/>
    <w:rsid w:val="00DD62DF"/>
    <w:rsid w:val="00DF2CC1"/>
    <w:rsid w:val="00DF5B6C"/>
    <w:rsid w:val="00E07E00"/>
    <w:rsid w:val="00E13BB0"/>
    <w:rsid w:val="00E421C5"/>
    <w:rsid w:val="00E82CBB"/>
    <w:rsid w:val="00E86B91"/>
    <w:rsid w:val="00E97A0D"/>
    <w:rsid w:val="00EC3669"/>
    <w:rsid w:val="00EC4C83"/>
    <w:rsid w:val="00EE2EDF"/>
    <w:rsid w:val="00F0225D"/>
    <w:rsid w:val="00F027E6"/>
    <w:rsid w:val="00F05EA7"/>
    <w:rsid w:val="00F207AF"/>
    <w:rsid w:val="00F26D82"/>
    <w:rsid w:val="00F33209"/>
    <w:rsid w:val="00F3522D"/>
    <w:rsid w:val="00F51CEC"/>
    <w:rsid w:val="00F75820"/>
    <w:rsid w:val="00F776CC"/>
    <w:rsid w:val="00F902A5"/>
    <w:rsid w:val="00FB1916"/>
    <w:rsid w:val="00FB4F12"/>
    <w:rsid w:val="00FB5E25"/>
    <w:rsid w:val="00FC251E"/>
    <w:rsid w:val="00FC2FB6"/>
    <w:rsid w:val="00FD140B"/>
    <w:rsid w:val="00FE0AE5"/>
    <w:rsid w:val="00FE4AF4"/>
    <w:rsid w:val="00FE63B4"/>
    <w:rsid w:val="00FF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FF7F"/>
  <w15:docId w15:val="{ADB46445-19B6-43B7-BB75-D7C03C18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F84"/>
    <w:pPr>
      <w:jc w:val="both"/>
    </w:pPr>
  </w:style>
  <w:style w:type="paragraph" w:styleId="Heading1">
    <w:name w:val="heading 1"/>
    <w:basedOn w:val="Normal"/>
    <w:next w:val="Normal"/>
    <w:link w:val="Heading1Char"/>
    <w:uiPriority w:val="9"/>
    <w:qFormat/>
    <w:rsid w:val="008F3041"/>
    <w:pPr>
      <w:keepNext/>
      <w:keepLines/>
      <w:spacing w:before="480" w:after="0"/>
      <w:outlineLvl w:val="0"/>
    </w:pPr>
    <w:rPr>
      <w:rFonts w:ascii="Calibri" w:eastAsiaTheme="majorEastAsia" w:hAnsi="Calibr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DB7393"/>
    <w:pPr>
      <w:keepNext/>
      <w:keepLines/>
      <w:spacing w:after="0"/>
      <w:outlineLvl w:val="1"/>
    </w:pPr>
    <w:rPr>
      <w:rFonts w:ascii="Calibri" w:eastAsiaTheme="majorEastAsia" w:hAnsi="Calibri" w:cstheme="majorBidi"/>
      <w:b/>
      <w:bCs/>
      <w:color w:val="4F81BD" w:themeColor="accent1"/>
      <w:szCs w:val="26"/>
    </w:rPr>
  </w:style>
  <w:style w:type="paragraph" w:styleId="Heading3">
    <w:name w:val="heading 3"/>
    <w:basedOn w:val="Normal"/>
    <w:next w:val="Normal"/>
    <w:link w:val="Heading3Char"/>
    <w:uiPriority w:val="9"/>
    <w:unhideWhenUsed/>
    <w:qFormat/>
    <w:rsid w:val="00DB73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62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A97"/>
  </w:style>
  <w:style w:type="paragraph" w:styleId="Footer">
    <w:name w:val="footer"/>
    <w:basedOn w:val="Normal"/>
    <w:link w:val="FooterChar"/>
    <w:uiPriority w:val="99"/>
    <w:unhideWhenUsed/>
    <w:rsid w:val="00023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97"/>
  </w:style>
  <w:style w:type="paragraph" w:styleId="BalloonText">
    <w:name w:val="Balloon Text"/>
    <w:basedOn w:val="Normal"/>
    <w:link w:val="BalloonTextChar"/>
    <w:uiPriority w:val="99"/>
    <w:semiHidden/>
    <w:unhideWhenUsed/>
    <w:rsid w:val="00023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A97"/>
    <w:rPr>
      <w:rFonts w:ascii="Tahoma" w:hAnsi="Tahoma" w:cs="Tahoma"/>
      <w:sz w:val="16"/>
      <w:szCs w:val="16"/>
    </w:rPr>
  </w:style>
  <w:style w:type="character" w:customStyle="1" w:styleId="Heading1Char">
    <w:name w:val="Heading 1 Char"/>
    <w:basedOn w:val="DefaultParagraphFont"/>
    <w:link w:val="Heading1"/>
    <w:uiPriority w:val="9"/>
    <w:rsid w:val="008F3041"/>
    <w:rPr>
      <w:rFonts w:ascii="Calibri" w:eastAsiaTheme="majorEastAsia" w:hAnsi="Calibri" w:cstheme="majorBidi"/>
      <w:b/>
      <w:bCs/>
      <w:color w:val="365F91" w:themeColor="accent1" w:themeShade="BF"/>
      <w:sz w:val="36"/>
      <w:szCs w:val="28"/>
    </w:rPr>
  </w:style>
  <w:style w:type="paragraph" w:styleId="Caption">
    <w:name w:val="caption"/>
    <w:basedOn w:val="Normal"/>
    <w:next w:val="Normal"/>
    <w:uiPriority w:val="35"/>
    <w:unhideWhenUsed/>
    <w:qFormat/>
    <w:rsid w:val="00432E6D"/>
    <w:pPr>
      <w:spacing w:line="240" w:lineRule="auto"/>
    </w:pPr>
    <w:rPr>
      <w:b/>
      <w:bCs/>
      <w:color w:val="4F81BD" w:themeColor="accent1"/>
      <w:sz w:val="18"/>
      <w:szCs w:val="18"/>
    </w:rPr>
  </w:style>
  <w:style w:type="paragraph" w:styleId="ListParagraph">
    <w:name w:val="List Paragraph"/>
    <w:basedOn w:val="Normal"/>
    <w:uiPriority w:val="34"/>
    <w:qFormat/>
    <w:rsid w:val="00FB4F12"/>
    <w:pPr>
      <w:ind w:left="720"/>
      <w:contextualSpacing/>
    </w:pPr>
  </w:style>
  <w:style w:type="table" w:styleId="TableGrid">
    <w:name w:val="Table Grid"/>
    <w:basedOn w:val="TableNormal"/>
    <w:uiPriority w:val="59"/>
    <w:rsid w:val="0008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74A8B"/>
    <w:rPr>
      <w:i/>
      <w:iCs/>
      <w:color w:val="000000" w:themeColor="text1"/>
      <w:lang w:eastAsia="ja-JP"/>
    </w:rPr>
  </w:style>
  <w:style w:type="character" w:customStyle="1" w:styleId="QuoteChar">
    <w:name w:val="Quote Char"/>
    <w:basedOn w:val="DefaultParagraphFont"/>
    <w:link w:val="Quote"/>
    <w:uiPriority w:val="29"/>
    <w:rsid w:val="00B74A8B"/>
    <w:rPr>
      <w:i/>
      <w:iCs/>
      <w:color w:val="000000" w:themeColor="text1"/>
      <w:lang w:eastAsia="ja-JP"/>
    </w:rPr>
  </w:style>
  <w:style w:type="character" w:styleId="PlaceholderText">
    <w:name w:val="Placeholder Text"/>
    <w:basedOn w:val="DefaultParagraphFont"/>
    <w:uiPriority w:val="99"/>
    <w:semiHidden/>
    <w:rsid w:val="008F3041"/>
    <w:rPr>
      <w:color w:val="808080"/>
    </w:rPr>
  </w:style>
  <w:style w:type="character" w:customStyle="1" w:styleId="Heading2Char">
    <w:name w:val="Heading 2 Char"/>
    <w:basedOn w:val="DefaultParagraphFont"/>
    <w:link w:val="Heading2"/>
    <w:uiPriority w:val="9"/>
    <w:rsid w:val="00DB7393"/>
    <w:rPr>
      <w:rFonts w:ascii="Calibri" w:eastAsiaTheme="majorEastAsia" w:hAnsi="Calibri" w:cstheme="majorBidi"/>
      <w:b/>
      <w:bCs/>
      <w:color w:val="4F81BD" w:themeColor="accent1"/>
      <w:szCs w:val="26"/>
    </w:rPr>
  </w:style>
  <w:style w:type="character" w:styleId="Strong">
    <w:name w:val="Strong"/>
    <w:basedOn w:val="DefaultParagraphFont"/>
    <w:uiPriority w:val="22"/>
    <w:qFormat/>
    <w:rsid w:val="008D4F84"/>
    <w:rPr>
      <w:rFonts w:ascii="Calibri" w:hAnsi="Calibri"/>
      <w:b/>
      <w:bCs/>
      <w:sz w:val="22"/>
    </w:rPr>
  </w:style>
  <w:style w:type="character" w:styleId="SubtleEmphasis">
    <w:name w:val="Subtle Emphasis"/>
    <w:basedOn w:val="DefaultParagraphFont"/>
    <w:uiPriority w:val="19"/>
    <w:qFormat/>
    <w:rsid w:val="00313D1C"/>
    <w:rPr>
      <w:rFonts w:asciiTheme="minorHAnsi" w:hAnsiTheme="minorHAnsi"/>
      <w:b/>
      <w:i/>
      <w:iCs/>
      <w:color w:val="808080" w:themeColor="text1" w:themeTint="7F"/>
      <w:sz w:val="22"/>
    </w:rPr>
  </w:style>
  <w:style w:type="character" w:customStyle="1" w:styleId="Heading3Char">
    <w:name w:val="Heading 3 Char"/>
    <w:basedOn w:val="DefaultParagraphFont"/>
    <w:link w:val="Heading3"/>
    <w:uiPriority w:val="9"/>
    <w:rsid w:val="00DB7393"/>
    <w:rPr>
      <w:rFonts w:asciiTheme="majorHAnsi" w:eastAsiaTheme="majorEastAsia" w:hAnsiTheme="majorHAnsi" w:cstheme="majorBidi"/>
      <w:b/>
      <w:bCs/>
      <w:color w:val="4F81BD" w:themeColor="accent1"/>
    </w:rPr>
  </w:style>
  <w:style w:type="table" w:styleId="ColorfulList-Accent5">
    <w:name w:val="Colorful List Accent 5"/>
    <w:basedOn w:val="TableNormal"/>
    <w:uiPriority w:val="72"/>
    <w:rsid w:val="0023671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Heading4Char">
    <w:name w:val="Heading 4 Char"/>
    <w:basedOn w:val="DefaultParagraphFont"/>
    <w:link w:val="Heading4"/>
    <w:uiPriority w:val="9"/>
    <w:semiHidden/>
    <w:rsid w:val="009F6231"/>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113082"/>
    <w:rPr>
      <w:sz w:val="16"/>
      <w:szCs w:val="16"/>
    </w:rPr>
  </w:style>
  <w:style w:type="paragraph" w:styleId="CommentText">
    <w:name w:val="annotation text"/>
    <w:basedOn w:val="Normal"/>
    <w:link w:val="CommentTextChar"/>
    <w:uiPriority w:val="99"/>
    <w:semiHidden/>
    <w:unhideWhenUsed/>
    <w:rsid w:val="00113082"/>
    <w:pPr>
      <w:spacing w:line="240" w:lineRule="auto"/>
    </w:pPr>
    <w:rPr>
      <w:sz w:val="20"/>
      <w:szCs w:val="20"/>
    </w:rPr>
  </w:style>
  <w:style w:type="character" w:customStyle="1" w:styleId="CommentTextChar">
    <w:name w:val="Comment Text Char"/>
    <w:basedOn w:val="DefaultParagraphFont"/>
    <w:link w:val="CommentText"/>
    <w:uiPriority w:val="99"/>
    <w:semiHidden/>
    <w:rsid w:val="00113082"/>
    <w:rPr>
      <w:sz w:val="20"/>
      <w:szCs w:val="20"/>
    </w:rPr>
  </w:style>
  <w:style w:type="paragraph" w:styleId="CommentSubject">
    <w:name w:val="annotation subject"/>
    <w:basedOn w:val="CommentText"/>
    <w:next w:val="CommentText"/>
    <w:link w:val="CommentSubjectChar"/>
    <w:uiPriority w:val="99"/>
    <w:semiHidden/>
    <w:unhideWhenUsed/>
    <w:rsid w:val="00113082"/>
    <w:rPr>
      <w:b/>
      <w:bCs/>
    </w:rPr>
  </w:style>
  <w:style w:type="character" w:customStyle="1" w:styleId="CommentSubjectChar">
    <w:name w:val="Comment Subject Char"/>
    <w:basedOn w:val="CommentTextChar"/>
    <w:link w:val="CommentSubject"/>
    <w:uiPriority w:val="99"/>
    <w:semiHidden/>
    <w:rsid w:val="00113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Schaaf\Desktop\New_Disrict_Court_Documentation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9C42-C065-43D5-849C-71897C04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New_Disrict_Court_Documentation_V3.dotx</Template>
  <TotalTime>2</TotalTime>
  <Pages>13</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Disrict Court Documentation |</vt:lpstr>
    </vt:vector>
  </TitlesOfParts>
  <Company>Order on Motion</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Disrict Court Documentation |</dc:title>
  <dc:creator>James Schaaf</dc:creator>
  <cp:lastModifiedBy>Warren Harris</cp:lastModifiedBy>
  <cp:revision>2</cp:revision>
  <cp:lastPrinted>2014-08-18T15:21:00Z</cp:lastPrinted>
  <dcterms:created xsi:type="dcterms:W3CDTF">2016-06-13T19:08:00Z</dcterms:created>
  <dcterms:modified xsi:type="dcterms:W3CDTF">2016-06-13T19:08:00Z</dcterms:modified>
</cp:coreProperties>
</file>